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8FBC5" w14:textId="5FDCD4C1" w:rsidR="003A495D" w:rsidRPr="003A495D" w:rsidRDefault="00215901" w:rsidP="003A495D">
      <w:pPr>
        <w:jc w:val="both"/>
        <w:rPr>
          <w:rFonts w:ascii="Verdana" w:hAnsi="Verdana"/>
        </w:rPr>
      </w:pPr>
      <w:r>
        <w:rPr>
          <w:rFonts w:ascii="Verdana" w:hAnsi="Verdana"/>
          <w:b/>
          <w:bCs/>
        </w:rPr>
        <w:t>A/A</w:t>
      </w:r>
      <w:r w:rsidR="003A495D" w:rsidRPr="003A495D">
        <w:rPr>
          <w:rFonts w:ascii="Verdana" w:hAnsi="Verdana"/>
          <w:b/>
          <w:bCs/>
        </w:rPr>
        <w:t>:</w:t>
      </w:r>
      <w:r w:rsidR="003A495D" w:rsidRPr="003A495D">
        <w:rPr>
          <w:rFonts w:ascii="Verdana" w:hAnsi="Verdana"/>
        </w:rPr>
        <w:t xml:space="preserve"> Ministerio de Sanidad</w:t>
      </w:r>
      <w:r>
        <w:rPr>
          <w:rFonts w:ascii="Verdana" w:hAnsi="Verdana"/>
        </w:rPr>
        <w:t xml:space="preserve">. </w:t>
      </w:r>
      <w:r w:rsidR="003A495D" w:rsidRPr="003A495D">
        <w:rPr>
          <w:rFonts w:ascii="Verdana" w:hAnsi="Verdana"/>
        </w:rPr>
        <w:t>Dirección General de Ordenación Profesional Referencia: Consulta pública previa sobre la modificación de la Ley 44/2003 (LOPS)</w:t>
      </w:r>
    </w:p>
    <w:p w14:paraId="4C0FBA2A" w14:textId="77777777" w:rsidR="003A495D" w:rsidRPr="003A495D" w:rsidRDefault="003A495D" w:rsidP="003A495D">
      <w:pPr>
        <w:jc w:val="both"/>
        <w:rPr>
          <w:rFonts w:ascii="Verdana" w:hAnsi="Verdana"/>
        </w:rPr>
      </w:pPr>
    </w:p>
    <w:p w14:paraId="1265B201" w14:textId="6FE90981" w:rsidR="003A495D" w:rsidRDefault="005A7E65" w:rsidP="003A495D">
      <w:pPr>
        <w:jc w:val="both"/>
        <w:rPr>
          <w:rFonts w:ascii="Verdana" w:hAnsi="Verdana"/>
        </w:rPr>
      </w:pPr>
      <w:r w:rsidRPr="003A495D">
        <w:rPr>
          <w:rFonts w:ascii="Verdana" w:hAnsi="Verdana"/>
        </w:rPr>
        <w:t xml:space="preserve">D./Dña. </w:t>
      </w:r>
      <w:r w:rsidRPr="003A495D">
        <w:rPr>
          <w:rFonts w:ascii="Verdana" w:hAnsi="Verdana"/>
          <w:highlight w:val="yellow"/>
        </w:rPr>
        <w:t>[NOMBRE Y APELLIDOS]</w:t>
      </w:r>
      <w:r w:rsidRPr="003A495D">
        <w:rPr>
          <w:rFonts w:ascii="Verdana" w:hAnsi="Verdana"/>
        </w:rPr>
        <w:t xml:space="preserve">, con DNI/NIE </w:t>
      </w:r>
      <w:r w:rsidRPr="003A495D">
        <w:rPr>
          <w:rFonts w:ascii="Verdana" w:hAnsi="Verdana"/>
          <w:highlight w:val="yellow"/>
        </w:rPr>
        <w:t>[NÚMERO]</w:t>
      </w:r>
      <w:r w:rsidRPr="003A495D">
        <w:rPr>
          <w:rFonts w:ascii="Verdana" w:hAnsi="Verdana"/>
        </w:rPr>
        <w:t>, en ejercicio del derecho reconocido en el artículo 133 de la Ley 39/2015, de 1 de octubre, del Procedimiento Administrativo Común de las Administraciones Públicas</w:t>
      </w:r>
      <w:r>
        <w:rPr>
          <w:rFonts w:ascii="Verdana" w:hAnsi="Verdana"/>
        </w:rPr>
        <w:t>,</w:t>
      </w:r>
    </w:p>
    <w:p w14:paraId="68560860" w14:textId="77777777" w:rsidR="000C0A0C" w:rsidRPr="003A495D" w:rsidRDefault="000C0A0C" w:rsidP="003A495D">
      <w:pPr>
        <w:jc w:val="both"/>
        <w:rPr>
          <w:rFonts w:ascii="Verdana" w:hAnsi="Verdana"/>
        </w:rPr>
      </w:pPr>
    </w:p>
    <w:p w14:paraId="38207E0F" w14:textId="73AFDED4" w:rsidR="003A495D" w:rsidRPr="003A495D" w:rsidRDefault="003A495D" w:rsidP="003A495D">
      <w:pPr>
        <w:jc w:val="both"/>
        <w:rPr>
          <w:rFonts w:ascii="Verdana" w:hAnsi="Verdana"/>
        </w:rPr>
      </w:pPr>
      <w:r w:rsidRPr="003A495D">
        <w:rPr>
          <w:rFonts w:ascii="Verdana" w:hAnsi="Verdana"/>
          <w:b/>
          <w:bCs/>
        </w:rPr>
        <w:t>EXPONE</w:t>
      </w:r>
      <w:r w:rsidRPr="003A495D">
        <w:rPr>
          <w:rFonts w:ascii="Verdana" w:hAnsi="Verdana"/>
        </w:rPr>
        <w:t>:</w:t>
      </w:r>
    </w:p>
    <w:p w14:paraId="5190C690" w14:textId="77777777" w:rsidR="003A495D" w:rsidRPr="003A495D" w:rsidRDefault="003A495D" w:rsidP="003A495D">
      <w:pPr>
        <w:jc w:val="both"/>
        <w:rPr>
          <w:rFonts w:ascii="Verdana" w:hAnsi="Verdana"/>
          <w:b/>
          <w:bCs/>
        </w:rPr>
      </w:pPr>
      <w:r w:rsidRPr="003A495D">
        <w:rPr>
          <w:rFonts w:ascii="Verdana" w:hAnsi="Verdana"/>
          <w:b/>
          <w:bCs/>
        </w:rPr>
        <w:t>I. INTRODUCCIÓN Y CONTEXTO NORMATIVO</w:t>
      </w:r>
    </w:p>
    <w:p w14:paraId="299BE7DA" w14:textId="14150793" w:rsidR="009B08B0" w:rsidRDefault="003A495D" w:rsidP="003A495D">
      <w:pPr>
        <w:jc w:val="both"/>
        <w:rPr>
          <w:rFonts w:ascii="Verdana" w:hAnsi="Verdana"/>
        </w:rPr>
      </w:pPr>
      <w:r w:rsidRPr="003A495D">
        <w:rPr>
          <w:rFonts w:ascii="Verdana" w:hAnsi="Verdana"/>
        </w:rPr>
        <w:t>E</w:t>
      </w:r>
      <w:r w:rsidR="00730A54">
        <w:rPr>
          <w:rFonts w:ascii="Verdana" w:hAnsi="Verdana"/>
        </w:rPr>
        <w:t>n la actualidad, el</w:t>
      </w:r>
      <w:r w:rsidRPr="003A495D">
        <w:rPr>
          <w:rFonts w:ascii="Verdana" w:hAnsi="Verdana"/>
        </w:rPr>
        <w:t xml:space="preserve"> sistema sanitario español </w:t>
      </w:r>
      <w:r w:rsidR="009B08B0">
        <w:rPr>
          <w:rFonts w:ascii="Verdana" w:hAnsi="Verdana"/>
        </w:rPr>
        <w:t xml:space="preserve">se encuentra inmerso en un proceso de reforma normativa que incluye, por un </w:t>
      </w:r>
      <w:r w:rsidR="00314283">
        <w:rPr>
          <w:rFonts w:ascii="Verdana" w:hAnsi="Verdana"/>
        </w:rPr>
        <w:t>lado,</w:t>
      </w:r>
      <w:r w:rsidR="009B08B0">
        <w:rPr>
          <w:rFonts w:ascii="Verdana" w:hAnsi="Verdana"/>
        </w:rPr>
        <w:t xml:space="preserve"> </w:t>
      </w:r>
      <w:r w:rsidR="00857DB3">
        <w:rPr>
          <w:rFonts w:ascii="Verdana" w:hAnsi="Verdana"/>
        </w:rPr>
        <w:t>la modificación de</w:t>
      </w:r>
      <w:r w:rsidR="00B53C3D">
        <w:rPr>
          <w:rFonts w:ascii="Verdana" w:hAnsi="Verdana"/>
        </w:rPr>
        <w:t xml:space="preserve"> la</w:t>
      </w:r>
      <w:r w:rsidR="009A34C1">
        <w:rPr>
          <w:rFonts w:ascii="Verdana" w:hAnsi="Verdana"/>
        </w:rPr>
        <w:t xml:space="preserve"> </w:t>
      </w:r>
      <w:r w:rsidR="00730A54">
        <w:rPr>
          <w:rFonts w:ascii="Verdana" w:hAnsi="Verdana"/>
        </w:rPr>
        <w:t>L</w:t>
      </w:r>
      <w:r w:rsidR="009A34C1" w:rsidRPr="00730A54">
        <w:rPr>
          <w:rFonts w:ascii="Verdana" w:hAnsi="Verdana"/>
        </w:rPr>
        <w:t xml:space="preserve">ey 55/2003, del </w:t>
      </w:r>
      <w:r w:rsidR="00857DB3" w:rsidRPr="00730A54">
        <w:rPr>
          <w:rFonts w:ascii="Verdana" w:hAnsi="Verdana"/>
        </w:rPr>
        <w:t>Estatuto Marco de</w:t>
      </w:r>
      <w:r w:rsidR="009A34C1" w:rsidRPr="00730A54">
        <w:rPr>
          <w:rFonts w:ascii="Verdana" w:hAnsi="Verdana"/>
        </w:rPr>
        <w:t>l personal estatutario de los servicios de salud</w:t>
      </w:r>
      <w:r w:rsidR="00857DB3">
        <w:rPr>
          <w:rFonts w:ascii="Verdana" w:hAnsi="Verdana"/>
        </w:rPr>
        <w:t>,</w:t>
      </w:r>
      <w:r w:rsidR="009B08B0">
        <w:rPr>
          <w:rFonts w:ascii="Verdana" w:hAnsi="Verdana"/>
        </w:rPr>
        <w:t xml:space="preserve"> y por otro, la reforma de la Ley 55/2003, de Ordenación de las Profesiones Sanitarias.</w:t>
      </w:r>
    </w:p>
    <w:p w14:paraId="1BAB5F4B" w14:textId="77777777" w:rsidR="00141675" w:rsidRDefault="009B08B0" w:rsidP="003A495D">
      <w:pPr>
        <w:jc w:val="both"/>
        <w:rPr>
          <w:rFonts w:ascii="Verdana" w:hAnsi="Verdana"/>
        </w:rPr>
      </w:pPr>
      <w:r>
        <w:rPr>
          <w:rFonts w:ascii="Verdana" w:hAnsi="Verdana"/>
        </w:rPr>
        <w:t xml:space="preserve">La modificación del Estatuto Marco se articula mediante un anteproyecto de ley (APL) actualmente en fase preliminar, sin haber sido aprobado </w:t>
      </w:r>
      <w:r w:rsidR="00DC4407">
        <w:rPr>
          <w:rFonts w:ascii="Verdana" w:hAnsi="Verdana"/>
        </w:rPr>
        <w:t>por el Consejo de Ministros.</w:t>
      </w:r>
      <w:r w:rsidR="000844DB">
        <w:rPr>
          <w:rFonts w:ascii="Verdana" w:hAnsi="Verdana"/>
        </w:rPr>
        <w:t xml:space="preserve"> </w:t>
      </w:r>
      <w:r w:rsidR="00DC4407">
        <w:rPr>
          <w:rFonts w:ascii="Verdana" w:hAnsi="Verdana"/>
        </w:rPr>
        <w:t xml:space="preserve">Dicho anteproyecto, en su disposición adicional vigesimosexta, prevé que el Gobierno inicie la reforma de la </w:t>
      </w:r>
      <w:r w:rsidR="00DC4407" w:rsidRPr="00730A54">
        <w:rPr>
          <w:rFonts w:ascii="Verdana" w:hAnsi="Verdana"/>
        </w:rPr>
        <w:t>LOPS</w:t>
      </w:r>
      <w:r w:rsidR="00DC4407">
        <w:rPr>
          <w:rFonts w:ascii="Verdana" w:hAnsi="Verdana"/>
        </w:rPr>
        <w:t xml:space="preserve"> en el plazo de un año desde su eventual entrada en vigor.</w:t>
      </w:r>
      <w:r w:rsidR="00141675">
        <w:rPr>
          <w:rFonts w:ascii="Verdana" w:hAnsi="Verdana"/>
        </w:rPr>
        <w:t xml:space="preserve"> </w:t>
      </w:r>
    </w:p>
    <w:p w14:paraId="3F076849" w14:textId="64CCB0E6" w:rsidR="000844DB" w:rsidRDefault="000844DB" w:rsidP="003A495D">
      <w:pPr>
        <w:jc w:val="both"/>
        <w:rPr>
          <w:rFonts w:ascii="Verdana" w:hAnsi="Verdana"/>
        </w:rPr>
      </w:pPr>
      <w:r>
        <w:rPr>
          <w:rFonts w:ascii="Verdana" w:hAnsi="Verdana"/>
        </w:rPr>
        <w:t>Recientemente</w:t>
      </w:r>
      <w:r w:rsidR="00DC4407">
        <w:rPr>
          <w:rFonts w:ascii="Verdana" w:hAnsi="Verdana"/>
        </w:rPr>
        <w:t>, se ha abierto el per</w:t>
      </w:r>
      <w:r w:rsidR="00730A54">
        <w:rPr>
          <w:rFonts w:ascii="Verdana" w:hAnsi="Verdana"/>
        </w:rPr>
        <w:t>í</w:t>
      </w:r>
      <w:r w:rsidR="00DC4407">
        <w:rPr>
          <w:rFonts w:ascii="Verdana" w:hAnsi="Verdana"/>
        </w:rPr>
        <w:t>odo de consulta pública para la modificación de la LOPS</w:t>
      </w:r>
      <w:r>
        <w:rPr>
          <w:rFonts w:ascii="Verdana" w:hAnsi="Verdana"/>
        </w:rPr>
        <w:t xml:space="preserve">. </w:t>
      </w:r>
      <w:r w:rsidR="00DC4407">
        <w:rPr>
          <w:rFonts w:ascii="Verdana" w:hAnsi="Verdana"/>
        </w:rPr>
        <w:t>Sin embargo, resulta jurídicamente cuestionable iniciar</w:t>
      </w:r>
      <w:r w:rsidR="0091156E">
        <w:rPr>
          <w:rFonts w:ascii="Verdana" w:hAnsi="Verdana"/>
        </w:rPr>
        <w:t xml:space="preserve"> esta</w:t>
      </w:r>
      <w:r w:rsidR="00DC4407">
        <w:rPr>
          <w:rFonts w:ascii="Verdana" w:hAnsi="Verdana"/>
        </w:rPr>
        <w:t xml:space="preserve"> reforma</w:t>
      </w:r>
      <w:r w:rsidR="00141675">
        <w:rPr>
          <w:rFonts w:ascii="Verdana" w:hAnsi="Verdana"/>
        </w:rPr>
        <w:t xml:space="preserve"> </w:t>
      </w:r>
      <w:r w:rsidR="00DC4407">
        <w:rPr>
          <w:rFonts w:ascii="Verdana" w:hAnsi="Verdana"/>
        </w:rPr>
        <w:t xml:space="preserve">sobre la base de una previsión contenida en un anteproyecto no </w:t>
      </w:r>
      <w:r w:rsidR="006C466E">
        <w:rPr>
          <w:rFonts w:ascii="Verdana" w:hAnsi="Verdana"/>
        </w:rPr>
        <w:t>aprobado</w:t>
      </w:r>
      <w:r>
        <w:rPr>
          <w:rFonts w:ascii="Verdana" w:hAnsi="Verdana"/>
        </w:rPr>
        <w:t xml:space="preserve"> y, por tanto, sin eficacia jurídica.</w:t>
      </w:r>
    </w:p>
    <w:p w14:paraId="097F901C" w14:textId="6AB873D8" w:rsidR="00972276" w:rsidRDefault="00EF4937" w:rsidP="003A495D">
      <w:pPr>
        <w:jc w:val="both"/>
        <w:rPr>
          <w:rFonts w:ascii="Verdana" w:hAnsi="Verdana"/>
        </w:rPr>
      </w:pPr>
      <w:r>
        <w:rPr>
          <w:rFonts w:ascii="Verdana" w:hAnsi="Verdana"/>
        </w:rPr>
        <w:t xml:space="preserve">La modificación del Estatuto Marco se justifica </w:t>
      </w:r>
      <w:r w:rsidR="000844DB">
        <w:rPr>
          <w:rFonts w:ascii="Verdana" w:hAnsi="Verdana"/>
        </w:rPr>
        <w:t>por</w:t>
      </w:r>
      <w:r>
        <w:rPr>
          <w:rFonts w:ascii="Verdana" w:hAnsi="Verdana"/>
        </w:rPr>
        <w:t xml:space="preserve"> la Administración en base a tres </w:t>
      </w:r>
      <w:r w:rsidR="000844DB">
        <w:rPr>
          <w:rFonts w:ascii="Verdana" w:hAnsi="Verdana"/>
        </w:rPr>
        <w:t>líneas principales</w:t>
      </w:r>
      <w:r>
        <w:rPr>
          <w:rFonts w:ascii="Verdana" w:hAnsi="Verdana"/>
        </w:rPr>
        <w:t>: la modernización del sistema sanitario, la ad</w:t>
      </w:r>
      <w:r w:rsidR="000844DB">
        <w:rPr>
          <w:rFonts w:ascii="Verdana" w:hAnsi="Verdana"/>
        </w:rPr>
        <w:t>aptación</w:t>
      </w:r>
      <w:r>
        <w:rPr>
          <w:rFonts w:ascii="Verdana" w:hAnsi="Verdana"/>
        </w:rPr>
        <w:t xml:space="preserve"> a</w:t>
      </w:r>
      <w:r w:rsidR="00FF4A0D">
        <w:rPr>
          <w:rFonts w:ascii="Verdana" w:hAnsi="Verdana"/>
        </w:rPr>
        <w:t>l</w:t>
      </w:r>
      <w:r>
        <w:rPr>
          <w:rFonts w:ascii="Verdana" w:hAnsi="Verdana"/>
        </w:rPr>
        <w:t xml:space="preserve"> </w:t>
      </w:r>
      <w:r w:rsidR="00FF4A0D">
        <w:rPr>
          <w:rFonts w:ascii="Verdana" w:hAnsi="Verdana"/>
        </w:rPr>
        <w:t>M</w:t>
      </w:r>
      <w:r>
        <w:rPr>
          <w:rFonts w:ascii="Verdana" w:hAnsi="Verdana"/>
        </w:rPr>
        <w:t xml:space="preserve">arco europeo de </w:t>
      </w:r>
      <w:r w:rsidR="00FF4A0D">
        <w:rPr>
          <w:rFonts w:ascii="Verdana" w:hAnsi="Verdana"/>
        </w:rPr>
        <w:t>C</w:t>
      </w:r>
      <w:r>
        <w:rPr>
          <w:rFonts w:ascii="Verdana" w:hAnsi="Verdana"/>
        </w:rPr>
        <w:t>ualificaci</w:t>
      </w:r>
      <w:r w:rsidR="00FF4A0D">
        <w:rPr>
          <w:rFonts w:ascii="Verdana" w:hAnsi="Verdana"/>
        </w:rPr>
        <w:t>ones</w:t>
      </w:r>
      <w:r>
        <w:rPr>
          <w:rFonts w:ascii="Verdana" w:hAnsi="Verdana"/>
        </w:rPr>
        <w:t xml:space="preserve"> </w:t>
      </w:r>
      <w:r w:rsidR="002339BD">
        <w:rPr>
          <w:rFonts w:ascii="Verdana" w:hAnsi="Verdana"/>
        </w:rPr>
        <w:t xml:space="preserve">(EQF) </w:t>
      </w:r>
      <w:r>
        <w:rPr>
          <w:rFonts w:ascii="Verdana" w:hAnsi="Verdana"/>
        </w:rPr>
        <w:t xml:space="preserve">y las necesidades de recursos humanos. </w:t>
      </w:r>
      <w:r w:rsidR="000844DB">
        <w:rPr>
          <w:rFonts w:ascii="Verdana" w:hAnsi="Verdana"/>
        </w:rPr>
        <w:t xml:space="preserve">Estos argumentos se </w:t>
      </w:r>
      <w:r w:rsidR="00972276">
        <w:rPr>
          <w:rFonts w:ascii="Verdana" w:hAnsi="Verdana"/>
        </w:rPr>
        <w:t>vinculan a una posible reorganización de funciones dentro del sistema sanitario, cuya viabilidad jurídica exige su encaje en el marco competencial regulado por la Ley 44/2003, de Ordenación de las Profesiones Sanitarias.</w:t>
      </w:r>
    </w:p>
    <w:p w14:paraId="4B946185" w14:textId="7876E250" w:rsidR="00895DEC" w:rsidRDefault="00895DEC" w:rsidP="00895DEC">
      <w:pPr>
        <w:jc w:val="both"/>
        <w:rPr>
          <w:rFonts w:ascii="Verdana" w:hAnsi="Verdana"/>
        </w:rPr>
      </w:pPr>
      <w:r>
        <w:rPr>
          <w:rFonts w:ascii="Verdana" w:hAnsi="Verdana"/>
        </w:rPr>
        <w:t>En el ordenamiento jurídico español, la delimitación de funciones y competencias sanitarias corresponde a la LOPS</w:t>
      </w:r>
      <w:r w:rsidR="00016AA1">
        <w:rPr>
          <w:rFonts w:ascii="Verdana" w:hAnsi="Verdana"/>
        </w:rPr>
        <w:t xml:space="preserve"> y se fundamenta en</w:t>
      </w:r>
      <w:r>
        <w:rPr>
          <w:rFonts w:ascii="Verdana" w:hAnsi="Verdana"/>
        </w:rPr>
        <w:t xml:space="preserve"> la </w:t>
      </w:r>
      <w:r w:rsidRPr="000F365D">
        <w:rPr>
          <w:rFonts w:ascii="Verdana" w:hAnsi="Verdana"/>
        </w:rPr>
        <w:lastRenderedPageBreak/>
        <w:t xml:space="preserve">formación </w:t>
      </w:r>
      <w:r w:rsidR="00016AA1">
        <w:rPr>
          <w:rFonts w:ascii="Verdana" w:hAnsi="Verdana"/>
        </w:rPr>
        <w:t>clínica</w:t>
      </w:r>
      <w:r w:rsidRPr="000F365D">
        <w:rPr>
          <w:rFonts w:ascii="Verdana" w:hAnsi="Verdana"/>
        </w:rPr>
        <w:t xml:space="preserve">, </w:t>
      </w:r>
      <w:r w:rsidR="00016AA1">
        <w:rPr>
          <w:rFonts w:ascii="Verdana" w:hAnsi="Verdana"/>
        </w:rPr>
        <w:t xml:space="preserve">la </w:t>
      </w:r>
      <w:r w:rsidRPr="000F365D">
        <w:rPr>
          <w:rFonts w:ascii="Verdana" w:hAnsi="Verdana"/>
        </w:rPr>
        <w:t xml:space="preserve">experiencia </w:t>
      </w:r>
      <w:r w:rsidR="00016AA1">
        <w:rPr>
          <w:rFonts w:ascii="Verdana" w:hAnsi="Verdana"/>
        </w:rPr>
        <w:t>asistencial</w:t>
      </w:r>
      <w:r w:rsidRPr="000F365D">
        <w:rPr>
          <w:rFonts w:ascii="Verdana" w:hAnsi="Verdana"/>
        </w:rPr>
        <w:t xml:space="preserve"> y </w:t>
      </w:r>
      <w:r w:rsidR="00016AA1">
        <w:rPr>
          <w:rFonts w:ascii="Verdana" w:hAnsi="Verdana"/>
        </w:rPr>
        <w:t>la r</w:t>
      </w:r>
      <w:r w:rsidRPr="000F365D">
        <w:rPr>
          <w:rFonts w:ascii="Verdana" w:hAnsi="Verdana"/>
        </w:rPr>
        <w:t xml:space="preserve">esponsabilidad jurídica </w:t>
      </w:r>
      <w:r w:rsidR="00972276">
        <w:rPr>
          <w:rFonts w:ascii="Verdana" w:hAnsi="Verdana"/>
        </w:rPr>
        <w:t>inherente</w:t>
      </w:r>
      <w:r w:rsidRPr="000F365D">
        <w:rPr>
          <w:rFonts w:ascii="Verdana" w:hAnsi="Verdana"/>
        </w:rPr>
        <w:t xml:space="preserve"> al ejercicio profesional</w:t>
      </w:r>
      <w:r w:rsidR="00016AA1">
        <w:rPr>
          <w:rFonts w:ascii="Verdana" w:hAnsi="Verdana"/>
        </w:rPr>
        <w:t>, no en la mera equivalencia académica.</w:t>
      </w:r>
      <w:r w:rsidRPr="000F365D">
        <w:rPr>
          <w:rFonts w:ascii="Verdana" w:hAnsi="Verdana"/>
        </w:rPr>
        <w:t xml:space="preserve"> </w:t>
      </w:r>
    </w:p>
    <w:p w14:paraId="0A325EC8" w14:textId="58EF629A" w:rsidR="00F37163" w:rsidRDefault="00F37163" w:rsidP="003A495D">
      <w:pPr>
        <w:jc w:val="both"/>
        <w:rPr>
          <w:rFonts w:ascii="Verdana" w:hAnsi="Verdana"/>
        </w:rPr>
      </w:pPr>
      <w:r>
        <w:rPr>
          <w:rFonts w:ascii="Verdana" w:hAnsi="Verdana"/>
        </w:rPr>
        <w:t xml:space="preserve">En relación con la </w:t>
      </w:r>
      <w:r w:rsidR="00867336">
        <w:rPr>
          <w:rFonts w:ascii="Verdana" w:hAnsi="Verdana"/>
        </w:rPr>
        <w:t>adapta</w:t>
      </w:r>
      <w:r>
        <w:rPr>
          <w:rFonts w:ascii="Verdana" w:hAnsi="Verdana"/>
        </w:rPr>
        <w:t>ción de</w:t>
      </w:r>
      <w:r w:rsidR="00867336">
        <w:rPr>
          <w:rFonts w:ascii="Verdana" w:hAnsi="Verdana"/>
        </w:rPr>
        <w:t xml:space="preserve"> la</w:t>
      </w:r>
      <w:r w:rsidR="00E11E89">
        <w:rPr>
          <w:rFonts w:ascii="Verdana" w:hAnsi="Verdana"/>
        </w:rPr>
        <w:t>s titulaciones sanitarias</w:t>
      </w:r>
      <w:r w:rsidR="00A53E10">
        <w:rPr>
          <w:rFonts w:ascii="Verdana" w:hAnsi="Verdana"/>
        </w:rPr>
        <w:t xml:space="preserve"> </w:t>
      </w:r>
      <w:r w:rsidR="00B978FE">
        <w:rPr>
          <w:rFonts w:ascii="Verdana" w:hAnsi="Verdana"/>
        </w:rPr>
        <w:t xml:space="preserve">al </w:t>
      </w:r>
      <w:r>
        <w:rPr>
          <w:rFonts w:ascii="Verdana" w:hAnsi="Verdana"/>
        </w:rPr>
        <w:t>M</w:t>
      </w:r>
      <w:r w:rsidR="00B978FE">
        <w:rPr>
          <w:rFonts w:ascii="Verdana" w:hAnsi="Verdana"/>
        </w:rPr>
        <w:t xml:space="preserve">arco </w:t>
      </w:r>
      <w:r w:rsidR="00C12FF3">
        <w:rPr>
          <w:rFonts w:ascii="Verdana" w:hAnsi="Verdana"/>
        </w:rPr>
        <w:t xml:space="preserve">Español de </w:t>
      </w:r>
      <w:r w:rsidR="00B978FE">
        <w:rPr>
          <w:rFonts w:ascii="Verdana" w:hAnsi="Verdana"/>
        </w:rPr>
        <w:t>Cualificaciones</w:t>
      </w:r>
      <w:r w:rsidR="00C12FF3">
        <w:rPr>
          <w:rFonts w:ascii="Verdana" w:hAnsi="Verdana"/>
        </w:rPr>
        <w:t xml:space="preserve"> (MECU)</w:t>
      </w:r>
      <w:r w:rsidR="00016AA1">
        <w:rPr>
          <w:rFonts w:ascii="Verdana" w:hAnsi="Verdana"/>
        </w:rPr>
        <w:t>, en coherencia con el Marco Europeo de Cualificaciones</w:t>
      </w:r>
      <w:r>
        <w:rPr>
          <w:rFonts w:ascii="Verdana" w:hAnsi="Verdana"/>
        </w:rPr>
        <w:t xml:space="preserve">, debe </w:t>
      </w:r>
      <w:r w:rsidR="00141675">
        <w:rPr>
          <w:rFonts w:ascii="Verdana" w:hAnsi="Verdana"/>
        </w:rPr>
        <w:t>precisarse</w:t>
      </w:r>
      <w:r>
        <w:rPr>
          <w:rFonts w:ascii="Verdana" w:hAnsi="Verdana"/>
        </w:rPr>
        <w:t xml:space="preserve"> que estos marcos tienen como finalidad</w:t>
      </w:r>
      <w:r w:rsidR="00895DEC">
        <w:rPr>
          <w:rFonts w:ascii="Verdana" w:hAnsi="Verdana"/>
        </w:rPr>
        <w:t xml:space="preserve"> </w:t>
      </w:r>
      <w:r w:rsidR="00B978FE">
        <w:rPr>
          <w:rFonts w:ascii="Verdana" w:hAnsi="Verdana"/>
        </w:rPr>
        <w:t>la ordenación y homologación de niveles educativos, estableciendo equivalencias académicas entre titulaciones</w:t>
      </w:r>
      <w:r>
        <w:rPr>
          <w:rFonts w:ascii="Verdana" w:hAnsi="Verdana"/>
        </w:rPr>
        <w:t>.</w:t>
      </w:r>
      <w:r w:rsidR="00B978FE">
        <w:rPr>
          <w:rFonts w:ascii="Verdana" w:hAnsi="Verdana"/>
        </w:rPr>
        <w:t xml:space="preserve"> </w:t>
      </w:r>
      <w:r>
        <w:rPr>
          <w:rFonts w:ascii="Verdana" w:hAnsi="Verdana"/>
        </w:rPr>
        <w:t>E</w:t>
      </w:r>
      <w:r w:rsidR="00C12FF3">
        <w:rPr>
          <w:rFonts w:ascii="Verdana" w:hAnsi="Verdana"/>
        </w:rPr>
        <w:t>n ningún caso determin</w:t>
      </w:r>
      <w:r>
        <w:rPr>
          <w:rFonts w:ascii="Verdana" w:hAnsi="Verdana"/>
        </w:rPr>
        <w:t>an</w:t>
      </w:r>
      <w:r w:rsidR="00C12FF3">
        <w:rPr>
          <w:rFonts w:ascii="Verdana" w:hAnsi="Verdana"/>
        </w:rPr>
        <w:t xml:space="preserve"> </w:t>
      </w:r>
      <w:r w:rsidR="00B978FE">
        <w:rPr>
          <w:rFonts w:ascii="Verdana" w:hAnsi="Verdana"/>
        </w:rPr>
        <w:t xml:space="preserve">competencias clínicas ni funciones asistenciales. </w:t>
      </w:r>
    </w:p>
    <w:p w14:paraId="67B6F7D9" w14:textId="346FE6D0" w:rsidR="00016AA1" w:rsidRDefault="00016AA1" w:rsidP="003A495D">
      <w:pPr>
        <w:jc w:val="both"/>
        <w:rPr>
          <w:rFonts w:ascii="Verdana" w:hAnsi="Verdana"/>
        </w:rPr>
      </w:pPr>
      <w:r>
        <w:rPr>
          <w:rFonts w:ascii="Verdana" w:hAnsi="Verdana"/>
        </w:rPr>
        <w:t>Por tanto, l</w:t>
      </w:r>
      <w:r w:rsidR="00895DEC">
        <w:rPr>
          <w:rFonts w:ascii="Verdana" w:hAnsi="Verdana"/>
        </w:rPr>
        <w:t xml:space="preserve">a adaptación al </w:t>
      </w:r>
      <w:r w:rsidR="00D33754">
        <w:rPr>
          <w:rFonts w:ascii="Verdana" w:hAnsi="Verdana"/>
        </w:rPr>
        <w:t>M</w:t>
      </w:r>
      <w:r w:rsidR="00895DEC">
        <w:rPr>
          <w:rFonts w:ascii="Verdana" w:hAnsi="Verdana"/>
        </w:rPr>
        <w:t xml:space="preserve">arco </w:t>
      </w:r>
      <w:r w:rsidR="00D33754">
        <w:rPr>
          <w:rFonts w:ascii="Verdana" w:hAnsi="Verdana"/>
        </w:rPr>
        <w:t>E</w:t>
      </w:r>
      <w:r w:rsidR="00895DEC">
        <w:rPr>
          <w:rFonts w:ascii="Verdana" w:hAnsi="Verdana"/>
        </w:rPr>
        <w:t xml:space="preserve">uropeo de </w:t>
      </w:r>
      <w:r w:rsidR="00D33754">
        <w:rPr>
          <w:rFonts w:ascii="Verdana" w:hAnsi="Verdana"/>
        </w:rPr>
        <w:t>C</w:t>
      </w:r>
      <w:r w:rsidR="00895DEC">
        <w:rPr>
          <w:rFonts w:ascii="Verdana" w:hAnsi="Verdana"/>
        </w:rPr>
        <w:t xml:space="preserve">ualificaciones no implica ni justifica una modificación del régimen competencial sanitario. </w:t>
      </w:r>
      <w:r w:rsidR="00B978FE">
        <w:rPr>
          <w:rFonts w:ascii="Verdana" w:hAnsi="Verdana"/>
        </w:rPr>
        <w:t>En consecuencia, la utilización de</w:t>
      </w:r>
      <w:r w:rsidR="00E11E89">
        <w:rPr>
          <w:rFonts w:ascii="Verdana" w:hAnsi="Verdana"/>
        </w:rPr>
        <w:t>l</w:t>
      </w:r>
      <w:r w:rsidR="00B978FE">
        <w:rPr>
          <w:rFonts w:ascii="Verdana" w:hAnsi="Verdana"/>
        </w:rPr>
        <w:t xml:space="preserve"> MECU</w:t>
      </w:r>
      <w:r w:rsidR="00C12FF3">
        <w:rPr>
          <w:rFonts w:ascii="Verdana" w:hAnsi="Verdana"/>
        </w:rPr>
        <w:t xml:space="preserve"> </w:t>
      </w:r>
      <w:r w:rsidR="00B978FE">
        <w:rPr>
          <w:rFonts w:ascii="Verdana" w:hAnsi="Verdana"/>
        </w:rPr>
        <w:t>como fundamento pa</w:t>
      </w:r>
      <w:r w:rsidR="00F37163">
        <w:rPr>
          <w:rFonts w:ascii="Verdana" w:hAnsi="Verdana"/>
        </w:rPr>
        <w:t>ra</w:t>
      </w:r>
      <w:r w:rsidR="00B978FE">
        <w:rPr>
          <w:rFonts w:ascii="Verdana" w:hAnsi="Verdana"/>
        </w:rPr>
        <w:t xml:space="preserve"> </w:t>
      </w:r>
      <w:r w:rsidR="00D33754">
        <w:rPr>
          <w:rFonts w:ascii="Verdana" w:hAnsi="Verdana"/>
        </w:rPr>
        <w:t>la</w:t>
      </w:r>
      <w:r w:rsidR="00B978FE">
        <w:rPr>
          <w:rFonts w:ascii="Verdana" w:hAnsi="Verdana"/>
        </w:rPr>
        <w:t xml:space="preserve"> redistribución de competencias clínicas carece de base jurídica</w:t>
      </w:r>
      <w:r w:rsidR="00E71891">
        <w:rPr>
          <w:rFonts w:ascii="Verdana" w:hAnsi="Verdana"/>
        </w:rPr>
        <w:t>,</w:t>
      </w:r>
      <w:r w:rsidR="00B978FE">
        <w:rPr>
          <w:rFonts w:ascii="Verdana" w:hAnsi="Verdana"/>
        </w:rPr>
        <w:t xml:space="preserve"> al tratarse de planos normativos distintos: uno de carácter académico y otro de carácter profesional y asistencial. </w:t>
      </w:r>
    </w:p>
    <w:p w14:paraId="0F21D0CE" w14:textId="77777777" w:rsidR="00D33754" w:rsidRDefault="00F37163" w:rsidP="003A495D">
      <w:pPr>
        <w:jc w:val="both"/>
        <w:rPr>
          <w:rFonts w:ascii="Verdana" w:hAnsi="Verdana"/>
        </w:rPr>
      </w:pPr>
      <w:r>
        <w:rPr>
          <w:rFonts w:ascii="Verdana" w:hAnsi="Verdana"/>
        </w:rPr>
        <w:t>A la luz de lo expuesto</w:t>
      </w:r>
      <w:r w:rsidR="003426A3">
        <w:rPr>
          <w:rFonts w:ascii="Verdana" w:hAnsi="Verdana"/>
        </w:rPr>
        <w:t>, la</w:t>
      </w:r>
      <w:r w:rsidR="00B978FE">
        <w:rPr>
          <w:rFonts w:ascii="Verdana" w:hAnsi="Verdana"/>
        </w:rPr>
        <w:t xml:space="preserve"> modificación de la LOPS no re</w:t>
      </w:r>
      <w:r w:rsidR="00766C1A">
        <w:rPr>
          <w:rFonts w:ascii="Verdana" w:hAnsi="Verdana"/>
        </w:rPr>
        <w:t>s</w:t>
      </w:r>
      <w:r w:rsidR="00B978FE">
        <w:rPr>
          <w:rFonts w:ascii="Verdana" w:hAnsi="Verdana"/>
        </w:rPr>
        <w:t>ponde</w:t>
      </w:r>
      <w:r w:rsidR="003426A3">
        <w:rPr>
          <w:rFonts w:ascii="Verdana" w:hAnsi="Verdana"/>
        </w:rPr>
        <w:t xml:space="preserve"> </w:t>
      </w:r>
      <w:r w:rsidR="00B978FE">
        <w:rPr>
          <w:rFonts w:ascii="Verdana" w:hAnsi="Verdana"/>
        </w:rPr>
        <w:t>a una necesidad técnica</w:t>
      </w:r>
      <w:r w:rsidR="003426A3">
        <w:rPr>
          <w:rFonts w:ascii="Verdana" w:hAnsi="Verdana"/>
        </w:rPr>
        <w:t>,</w:t>
      </w:r>
      <w:r w:rsidR="00B978FE">
        <w:rPr>
          <w:rFonts w:ascii="Verdana" w:hAnsi="Verdana"/>
        </w:rPr>
        <w:t xml:space="preserve"> sino a la </w:t>
      </w:r>
      <w:r w:rsidR="00B978FE" w:rsidRPr="002240C9">
        <w:rPr>
          <w:rFonts w:ascii="Verdana" w:hAnsi="Verdana"/>
        </w:rPr>
        <w:t xml:space="preserve">pretensión de dotar de cobertura jurídica a cambios organizativos </w:t>
      </w:r>
      <w:r w:rsidR="003426A3">
        <w:rPr>
          <w:rFonts w:ascii="Verdana" w:hAnsi="Verdana"/>
        </w:rPr>
        <w:t xml:space="preserve">implícitos en el planteamiento </w:t>
      </w:r>
      <w:r w:rsidR="00E11E89" w:rsidRPr="002240C9">
        <w:rPr>
          <w:rFonts w:ascii="Verdana" w:hAnsi="Verdana"/>
        </w:rPr>
        <w:t>del Estatuto Marco</w:t>
      </w:r>
      <w:r w:rsidR="00D33754">
        <w:rPr>
          <w:rFonts w:ascii="Verdana" w:hAnsi="Verdana"/>
        </w:rPr>
        <w:t>.</w:t>
      </w:r>
    </w:p>
    <w:p w14:paraId="76533ABB" w14:textId="1A0E79EA" w:rsidR="00CC3BCE" w:rsidRPr="00D33754" w:rsidRDefault="00D33754" w:rsidP="003A495D">
      <w:pPr>
        <w:jc w:val="both"/>
        <w:rPr>
          <w:rFonts w:ascii="Verdana" w:hAnsi="Verdana"/>
        </w:rPr>
      </w:pPr>
      <w:r>
        <w:rPr>
          <w:rFonts w:ascii="Verdana" w:hAnsi="Verdana"/>
        </w:rPr>
        <w:t>L</w:t>
      </w:r>
      <w:r w:rsidR="00CC3BCE">
        <w:rPr>
          <w:rFonts w:ascii="Verdana" w:hAnsi="Verdana"/>
        </w:rPr>
        <w:t>a modificación de la clasificación profesional</w:t>
      </w:r>
      <w:r w:rsidR="0091156E">
        <w:rPr>
          <w:rFonts w:ascii="Verdana" w:hAnsi="Verdana"/>
        </w:rPr>
        <w:t xml:space="preserve"> </w:t>
      </w:r>
      <w:r>
        <w:rPr>
          <w:rFonts w:ascii="Verdana" w:hAnsi="Verdana"/>
        </w:rPr>
        <w:t>no justifica</w:t>
      </w:r>
      <w:r w:rsidR="0091156E">
        <w:rPr>
          <w:rFonts w:ascii="Verdana" w:hAnsi="Verdana"/>
        </w:rPr>
        <w:t>, por s</w:t>
      </w:r>
      <w:r>
        <w:rPr>
          <w:rFonts w:ascii="Verdana" w:hAnsi="Verdana"/>
        </w:rPr>
        <w:t>í</w:t>
      </w:r>
      <w:r w:rsidR="0091156E">
        <w:rPr>
          <w:rFonts w:ascii="Verdana" w:hAnsi="Verdana"/>
        </w:rPr>
        <w:t xml:space="preserve"> misma, </w:t>
      </w:r>
      <w:r>
        <w:rPr>
          <w:rFonts w:ascii="Verdana" w:hAnsi="Verdana"/>
        </w:rPr>
        <w:t>una reforma de la LOPS</w:t>
      </w:r>
      <w:r w:rsidR="0091156E">
        <w:rPr>
          <w:rFonts w:ascii="Verdana" w:hAnsi="Verdana"/>
        </w:rPr>
        <w:t>, salvo que conlleve una alteración de las competencias clínicas.</w:t>
      </w:r>
    </w:p>
    <w:p w14:paraId="754BAA94" w14:textId="4CD63658" w:rsidR="00E11E89" w:rsidRDefault="00E11E89" w:rsidP="003A495D">
      <w:pPr>
        <w:jc w:val="both"/>
        <w:rPr>
          <w:rFonts w:ascii="Verdana" w:hAnsi="Verdana"/>
        </w:rPr>
      </w:pPr>
      <w:r w:rsidRPr="4D09471A">
        <w:rPr>
          <w:rFonts w:ascii="Verdana" w:hAnsi="Verdana"/>
        </w:rPr>
        <w:t>Esta secuencia</w:t>
      </w:r>
      <w:r w:rsidR="00CC3BCE" w:rsidRPr="4D09471A">
        <w:rPr>
          <w:rFonts w:ascii="Verdana" w:hAnsi="Verdana"/>
        </w:rPr>
        <w:t>,</w:t>
      </w:r>
      <w:r w:rsidR="003426A3" w:rsidRPr="4D09471A">
        <w:rPr>
          <w:rFonts w:ascii="Verdana" w:hAnsi="Verdana"/>
        </w:rPr>
        <w:t xml:space="preserve"> que </w:t>
      </w:r>
      <w:r w:rsidR="00CC3BCE" w:rsidRPr="4D09471A">
        <w:rPr>
          <w:rFonts w:ascii="Verdana" w:hAnsi="Verdana"/>
        </w:rPr>
        <w:t xml:space="preserve">va de </w:t>
      </w:r>
      <w:r w:rsidR="003426A3" w:rsidRPr="4D09471A">
        <w:rPr>
          <w:rFonts w:ascii="Verdana" w:hAnsi="Verdana"/>
        </w:rPr>
        <w:t>la</w:t>
      </w:r>
      <w:r w:rsidR="007E5341" w:rsidRPr="4D09471A">
        <w:rPr>
          <w:rFonts w:ascii="Verdana" w:hAnsi="Verdana"/>
        </w:rPr>
        <w:t xml:space="preserve"> </w:t>
      </w:r>
      <w:r w:rsidRPr="4D09471A">
        <w:rPr>
          <w:rFonts w:ascii="Verdana" w:hAnsi="Verdana"/>
        </w:rPr>
        <w:t>adaptación académica</w:t>
      </w:r>
      <w:r w:rsidR="00CC3BCE" w:rsidRPr="4D09471A">
        <w:rPr>
          <w:rFonts w:ascii="Verdana" w:hAnsi="Verdana"/>
        </w:rPr>
        <w:t xml:space="preserve"> a la</w:t>
      </w:r>
      <w:r w:rsidR="003426A3" w:rsidRPr="4D09471A">
        <w:rPr>
          <w:rFonts w:ascii="Verdana" w:hAnsi="Verdana"/>
        </w:rPr>
        <w:t xml:space="preserve"> </w:t>
      </w:r>
      <w:r w:rsidRPr="4D09471A">
        <w:rPr>
          <w:rFonts w:ascii="Verdana" w:hAnsi="Verdana"/>
        </w:rPr>
        <w:t>re</w:t>
      </w:r>
      <w:r w:rsidR="003426A3" w:rsidRPr="4D09471A">
        <w:rPr>
          <w:rFonts w:ascii="Verdana" w:hAnsi="Verdana"/>
        </w:rPr>
        <w:t>organización funcional</w:t>
      </w:r>
      <w:r w:rsidRPr="4D09471A">
        <w:rPr>
          <w:rFonts w:ascii="Verdana" w:hAnsi="Verdana"/>
        </w:rPr>
        <w:t xml:space="preserve"> y </w:t>
      </w:r>
      <w:r w:rsidR="00CC3BCE" w:rsidRPr="4D09471A">
        <w:rPr>
          <w:rFonts w:ascii="Verdana" w:hAnsi="Verdana"/>
        </w:rPr>
        <w:t xml:space="preserve">a la posterior </w:t>
      </w:r>
      <w:r w:rsidRPr="4D09471A">
        <w:rPr>
          <w:rFonts w:ascii="Verdana" w:hAnsi="Verdana"/>
        </w:rPr>
        <w:t>modificación legal</w:t>
      </w:r>
      <w:r w:rsidR="003426A3" w:rsidRPr="4D09471A">
        <w:rPr>
          <w:rFonts w:ascii="Verdana" w:hAnsi="Verdana"/>
        </w:rPr>
        <w:t xml:space="preserve">, </w:t>
      </w:r>
      <w:r w:rsidRPr="4D09471A">
        <w:rPr>
          <w:rFonts w:ascii="Verdana" w:hAnsi="Verdana"/>
        </w:rPr>
        <w:t>exige un análisis riguroso desde la perspectiva de la seguridad del paciente, la calidad asistencial y la coherencia del sistema</w:t>
      </w:r>
      <w:r w:rsidR="005A7E65">
        <w:rPr>
          <w:rFonts w:ascii="Verdana" w:hAnsi="Verdana"/>
        </w:rPr>
        <w:t>; lo que pue</w:t>
      </w:r>
      <w:r w:rsidR="007E5341" w:rsidRPr="4D09471A">
        <w:rPr>
          <w:rFonts w:ascii="Verdana" w:hAnsi="Verdana"/>
        </w:rPr>
        <w:t xml:space="preserve">de </w:t>
      </w:r>
      <w:r w:rsidR="00D33754" w:rsidRPr="4D09471A">
        <w:rPr>
          <w:rFonts w:ascii="Verdana" w:hAnsi="Verdana"/>
        </w:rPr>
        <w:t xml:space="preserve">alterar </w:t>
      </w:r>
      <w:r w:rsidR="007E5341" w:rsidRPr="4D09471A">
        <w:rPr>
          <w:rFonts w:ascii="Verdana" w:hAnsi="Verdana"/>
        </w:rPr>
        <w:t xml:space="preserve">el equilibrio competencial vigente sin una justificación técnica suficiente. </w:t>
      </w:r>
    </w:p>
    <w:p w14:paraId="4931519E" w14:textId="77777777" w:rsidR="003426A3" w:rsidRDefault="003426A3" w:rsidP="003A495D">
      <w:pPr>
        <w:jc w:val="both"/>
        <w:rPr>
          <w:rFonts w:ascii="Verdana" w:hAnsi="Verdana"/>
        </w:rPr>
      </w:pPr>
    </w:p>
    <w:p w14:paraId="792CFEA1" w14:textId="4F6767DE" w:rsidR="002339BD" w:rsidRPr="00B05C63" w:rsidRDefault="002339BD" w:rsidP="003A495D">
      <w:pPr>
        <w:jc w:val="both"/>
        <w:rPr>
          <w:rFonts w:ascii="Verdana" w:hAnsi="Verdana"/>
          <w:b/>
          <w:bCs/>
        </w:rPr>
      </w:pPr>
      <w:r w:rsidRPr="00B05C63">
        <w:rPr>
          <w:rFonts w:ascii="Verdana" w:hAnsi="Verdana"/>
          <w:b/>
          <w:bCs/>
        </w:rPr>
        <w:t>La asistencia sanitaria y el acto médico</w:t>
      </w:r>
    </w:p>
    <w:p w14:paraId="351ADE93" w14:textId="77777777" w:rsidR="002339BD" w:rsidRDefault="002339BD" w:rsidP="002339BD">
      <w:pPr>
        <w:jc w:val="both"/>
        <w:rPr>
          <w:rFonts w:ascii="Verdana" w:hAnsi="Verdana"/>
        </w:rPr>
      </w:pPr>
      <w:r w:rsidRPr="00B05C63">
        <w:rPr>
          <w:rFonts w:ascii="Verdana" w:hAnsi="Verdana"/>
        </w:rPr>
        <w:t>La asistencia sanitaria</w:t>
      </w:r>
      <w:r>
        <w:rPr>
          <w:rFonts w:ascii="Verdana" w:hAnsi="Verdana"/>
        </w:rPr>
        <w:t xml:space="preserve"> constituye un concepto amplio que engloba el conjunto de actuaciones dirigidas a la promoción de la salud, prevención de la enfermedad, diagnóstico, tratamiento y rehabilitación de las personas, conforme a lo establecido en la normativa sanitaria vigente.</w:t>
      </w:r>
    </w:p>
    <w:p w14:paraId="62D975A2" w14:textId="77777777" w:rsidR="002339BD" w:rsidRDefault="002339BD" w:rsidP="002339BD">
      <w:pPr>
        <w:jc w:val="both"/>
        <w:rPr>
          <w:rFonts w:ascii="Verdana" w:hAnsi="Verdana"/>
        </w:rPr>
      </w:pPr>
      <w:r>
        <w:rPr>
          <w:rFonts w:ascii="Verdana" w:hAnsi="Verdana"/>
        </w:rPr>
        <w:t xml:space="preserve">Dentro de este concepto general deben diferenciarse actuaciones de distinta naturaleza, complejidad y responsabilidad, que no son </w:t>
      </w:r>
      <w:r>
        <w:rPr>
          <w:rFonts w:ascii="Verdana" w:hAnsi="Verdana"/>
        </w:rPr>
        <w:lastRenderedPageBreak/>
        <w:t xml:space="preserve">equivalentes ni intercambiables desde el punto de vista jurídico ni asistencial. </w:t>
      </w:r>
    </w:p>
    <w:p w14:paraId="4B82A596" w14:textId="77777777" w:rsidR="002339BD" w:rsidRDefault="002339BD" w:rsidP="002339BD">
      <w:pPr>
        <w:jc w:val="both"/>
        <w:rPr>
          <w:rFonts w:ascii="Verdana" w:hAnsi="Verdana"/>
        </w:rPr>
      </w:pPr>
      <w:r w:rsidRPr="00B05C63">
        <w:rPr>
          <w:rFonts w:ascii="Verdana" w:hAnsi="Verdana"/>
        </w:rPr>
        <w:t>El</w:t>
      </w:r>
      <w:r w:rsidRPr="00175517">
        <w:rPr>
          <w:rFonts w:ascii="Verdana" w:hAnsi="Verdana"/>
          <w:b/>
          <w:bCs/>
        </w:rPr>
        <w:t xml:space="preserve"> acto médico</w:t>
      </w:r>
      <w:r>
        <w:rPr>
          <w:rFonts w:ascii="Verdana" w:hAnsi="Verdana"/>
        </w:rPr>
        <w:t xml:space="preserve"> constituye el núcleo esencial de la asistencia sanitaria e integra aquellas actuaciones que implican diagnóstico diferencial, juicio clínico y decisión terapéutica. Estas funciones suponen la adopción de decisiones clínicas autónomas con impacto directo sobre la salud y la integridad de las personas y conllevan una responsabilidad jurídica específica, tanto en el ámbito civil como, en su caso, penal.</w:t>
      </w:r>
    </w:p>
    <w:p w14:paraId="6E174E3F" w14:textId="77777777" w:rsidR="002339BD" w:rsidRDefault="002339BD" w:rsidP="002339BD">
      <w:pPr>
        <w:jc w:val="both"/>
        <w:rPr>
          <w:rFonts w:ascii="Verdana" w:hAnsi="Verdana"/>
        </w:rPr>
      </w:pPr>
      <w:r>
        <w:rPr>
          <w:rFonts w:ascii="Verdana" w:hAnsi="Verdana"/>
        </w:rPr>
        <w:t xml:space="preserve">Dentro del acto médico se incluyen asimismo la indicación y realización de procedimientos diagnósticos y terapéuticos, especialmente aquellos de carácter invasivo, que comportan un riesgo directo para el paciente y exigen una capacitación técnica y clínica adecuadas, así como la asunción de la correspondiente responsabilidad. </w:t>
      </w:r>
    </w:p>
    <w:p w14:paraId="0F21B02A" w14:textId="1F46C0CB" w:rsidR="002339BD" w:rsidRDefault="002339BD" w:rsidP="002339BD">
      <w:pPr>
        <w:jc w:val="both"/>
        <w:rPr>
          <w:rFonts w:ascii="Verdana" w:hAnsi="Verdana"/>
        </w:rPr>
      </w:pPr>
      <w:r>
        <w:rPr>
          <w:rFonts w:ascii="Verdana" w:hAnsi="Verdana"/>
        </w:rPr>
        <w:t xml:space="preserve">Por otro lado, </w:t>
      </w:r>
      <w:r w:rsidR="00314283">
        <w:rPr>
          <w:rFonts w:ascii="Verdana" w:hAnsi="Verdana"/>
        </w:rPr>
        <w:t xml:space="preserve">la labor del resto de profesiones sanitarias constituye igualmente </w:t>
      </w:r>
      <w:r>
        <w:rPr>
          <w:rFonts w:ascii="Verdana" w:hAnsi="Verdana"/>
        </w:rPr>
        <w:t>una parte esencial de la asistencia sanitaria, desarrollándose</w:t>
      </w:r>
      <w:r w:rsidR="00314283">
        <w:rPr>
          <w:rFonts w:ascii="Verdana" w:hAnsi="Verdana"/>
        </w:rPr>
        <w:t>, cada una de ellas,</w:t>
      </w:r>
      <w:r>
        <w:rPr>
          <w:rFonts w:ascii="Verdana" w:hAnsi="Verdana"/>
        </w:rPr>
        <w:t xml:space="preserve"> </w:t>
      </w:r>
      <w:r w:rsidR="00D3016F">
        <w:rPr>
          <w:rFonts w:ascii="Verdana" w:hAnsi="Verdana"/>
        </w:rPr>
        <w:t>dentro d</w:t>
      </w:r>
      <w:r>
        <w:rPr>
          <w:rFonts w:ascii="Verdana" w:hAnsi="Verdana"/>
        </w:rPr>
        <w:t xml:space="preserve">el </w:t>
      </w:r>
      <w:r w:rsidR="00D3016F">
        <w:rPr>
          <w:rFonts w:ascii="Verdana" w:hAnsi="Verdana"/>
        </w:rPr>
        <w:t xml:space="preserve">marco </w:t>
      </w:r>
      <w:r w:rsidR="00314283">
        <w:rPr>
          <w:rFonts w:ascii="Verdana" w:hAnsi="Verdana"/>
        </w:rPr>
        <w:t xml:space="preserve">correspondiente </w:t>
      </w:r>
      <w:r w:rsidR="00D3016F">
        <w:rPr>
          <w:rFonts w:ascii="Verdana" w:hAnsi="Verdana"/>
        </w:rPr>
        <w:t>a</w:t>
      </w:r>
      <w:r>
        <w:rPr>
          <w:rFonts w:ascii="Verdana" w:hAnsi="Verdana"/>
        </w:rPr>
        <w:t xml:space="preserve"> sus </w:t>
      </w:r>
      <w:r w:rsidR="00314283">
        <w:rPr>
          <w:rFonts w:ascii="Verdana" w:hAnsi="Verdana"/>
        </w:rPr>
        <w:t xml:space="preserve">propias </w:t>
      </w:r>
      <w:r>
        <w:rPr>
          <w:rFonts w:ascii="Verdana" w:hAnsi="Verdana"/>
        </w:rPr>
        <w:t>competencias.</w:t>
      </w:r>
    </w:p>
    <w:p w14:paraId="1A6FF6AE" w14:textId="43B5CA1A" w:rsidR="002339BD" w:rsidRDefault="002339BD" w:rsidP="002339BD">
      <w:pPr>
        <w:jc w:val="both"/>
        <w:rPr>
          <w:rFonts w:ascii="Verdana" w:hAnsi="Verdana"/>
        </w:rPr>
      </w:pPr>
      <w:r>
        <w:rPr>
          <w:rFonts w:ascii="Verdana" w:hAnsi="Verdana"/>
        </w:rPr>
        <w:t xml:space="preserve">La diferenciación entre acto médico y </w:t>
      </w:r>
      <w:r w:rsidR="00314283">
        <w:rPr>
          <w:rFonts w:ascii="Verdana" w:hAnsi="Verdana"/>
        </w:rPr>
        <w:t>las actuaciones</w:t>
      </w:r>
      <w:r w:rsidR="00D3016F">
        <w:rPr>
          <w:rFonts w:ascii="Verdana" w:hAnsi="Verdana"/>
        </w:rPr>
        <w:t xml:space="preserve"> que puedan realizar </w:t>
      </w:r>
      <w:r w:rsidR="00314283">
        <w:rPr>
          <w:rFonts w:ascii="Verdana" w:hAnsi="Verdana"/>
        </w:rPr>
        <w:t xml:space="preserve">el resto de </w:t>
      </w:r>
      <w:r w:rsidR="00215901">
        <w:rPr>
          <w:rFonts w:ascii="Verdana" w:hAnsi="Verdana"/>
        </w:rPr>
        <w:t>las profesiones</w:t>
      </w:r>
      <w:r w:rsidR="00314283">
        <w:rPr>
          <w:rFonts w:ascii="Verdana" w:hAnsi="Verdana"/>
        </w:rPr>
        <w:t xml:space="preserve"> sanitarias r</w:t>
      </w:r>
      <w:r>
        <w:rPr>
          <w:rFonts w:ascii="Verdana" w:hAnsi="Verdana"/>
        </w:rPr>
        <w:t>esponde a la distinta naturaleza de las funciones desempeñadas, siendo imprescindible garantizar la correspondencia entre formación, competencia y responsabilidad en cada uno de los ámbitos. La vinculación entre decisión clínica y responsabilidad constituye un elemento estructural del ordenamiento sanitario, en la medida en que garantiza la</w:t>
      </w:r>
      <w:r w:rsidR="00D3016F">
        <w:rPr>
          <w:rFonts w:ascii="Verdana" w:hAnsi="Verdana"/>
        </w:rPr>
        <w:t xml:space="preserve"> seguridad del paciente, la calidad de la asistencia sanitaria, la</w:t>
      </w:r>
      <w:r>
        <w:rPr>
          <w:rFonts w:ascii="Verdana" w:hAnsi="Verdana"/>
        </w:rPr>
        <w:t xml:space="preserve"> identificación del profesional responsable y la trazabilidad de la actuación asistencial.</w:t>
      </w:r>
    </w:p>
    <w:p w14:paraId="54572642" w14:textId="596F803F" w:rsidR="002339BD" w:rsidRDefault="002339BD" w:rsidP="002339BD">
      <w:pPr>
        <w:jc w:val="both"/>
        <w:rPr>
          <w:rFonts w:ascii="Verdana" w:hAnsi="Verdana"/>
        </w:rPr>
      </w:pPr>
      <w:r>
        <w:rPr>
          <w:rFonts w:ascii="Verdana" w:hAnsi="Verdana"/>
        </w:rPr>
        <w:t>En este contexto, la eventual</w:t>
      </w:r>
      <w:r w:rsidR="00C975E6">
        <w:rPr>
          <w:rFonts w:ascii="Verdana" w:hAnsi="Verdana"/>
        </w:rPr>
        <w:t xml:space="preserve"> tran</w:t>
      </w:r>
      <w:r w:rsidR="00B05C63">
        <w:rPr>
          <w:rFonts w:ascii="Verdana" w:hAnsi="Verdana"/>
        </w:rPr>
        <w:t>s</w:t>
      </w:r>
      <w:r w:rsidR="00C975E6">
        <w:rPr>
          <w:rFonts w:ascii="Verdana" w:hAnsi="Verdana"/>
        </w:rPr>
        <w:t>ferencia de competencias</w:t>
      </w:r>
      <w:r>
        <w:rPr>
          <w:rFonts w:ascii="Verdana" w:hAnsi="Verdana"/>
        </w:rPr>
        <w:t xml:space="preserve"> a otros profesionales sin una correspondencia equivalente en términos de formación, capacidad decisoria y régimen de responsabilidad podría generar una disociación entre quien decide y quien responde, con implicaciones relevantes desde el punto de vista de la seguridad del paciente y la seguridad jurídica. Es por ello, que la delimitación de funciones no puede analizarse desde una perspectiva organizativa, sino que debe atender a la naturaleza de las decisiones clínicas implicadas y al régimen de responsabilidad que llevan asociado. La ruptura de esta correspondencia entre decisión clínica y responsabilidad supondría una alteración sustancial del modelo jurídico asistencial vigente.</w:t>
      </w:r>
    </w:p>
    <w:p w14:paraId="3E08D9B8" w14:textId="77777777" w:rsidR="002339BD" w:rsidRDefault="002339BD" w:rsidP="000E4FE0">
      <w:pPr>
        <w:jc w:val="both"/>
        <w:rPr>
          <w:rFonts w:ascii="Verdana" w:hAnsi="Verdana"/>
        </w:rPr>
      </w:pPr>
    </w:p>
    <w:p w14:paraId="02F90C17" w14:textId="107D32E0" w:rsidR="002339BD" w:rsidRPr="00B05C63" w:rsidRDefault="002339BD" w:rsidP="000E4FE0">
      <w:pPr>
        <w:jc w:val="both"/>
        <w:rPr>
          <w:rFonts w:ascii="Verdana" w:hAnsi="Verdana"/>
          <w:b/>
          <w:bCs/>
        </w:rPr>
      </w:pPr>
      <w:r w:rsidRPr="00B05C63">
        <w:rPr>
          <w:rFonts w:ascii="Verdana" w:hAnsi="Verdana"/>
          <w:b/>
          <w:bCs/>
        </w:rPr>
        <w:lastRenderedPageBreak/>
        <w:t>Evolución de las políticas sanitarias y modelos de transferencia competencial</w:t>
      </w:r>
    </w:p>
    <w:p w14:paraId="76DCBC49" w14:textId="01D66C60" w:rsidR="00964A62" w:rsidRDefault="00766C1A" w:rsidP="000E4FE0">
      <w:pPr>
        <w:jc w:val="both"/>
        <w:rPr>
          <w:rFonts w:ascii="Verdana" w:hAnsi="Verdana"/>
        </w:rPr>
      </w:pPr>
      <w:r>
        <w:rPr>
          <w:rFonts w:ascii="Verdana" w:hAnsi="Verdana"/>
        </w:rPr>
        <w:t>E</w:t>
      </w:r>
      <w:r w:rsidR="003A495D" w:rsidRPr="003A495D">
        <w:rPr>
          <w:rFonts w:ascii="Verdana" w:hAnsi="Verdana"/>
        </w:rPr>
        <w:t xml:space="preserve">l análisis </w:t>
      </w:r>
      <w:r w:rsidR="00443835">
        <w:rPr>
          <w:rFonts w:ascii="Verdana" w:hAnsi="Verdana"/>
        </w:rPr>
        <w:t xml:space="preserve">de la </w:t>
      </w:r>
      <w:r w:rsidR="00964A62">
        <w:rPr>
          <w:rFonts w:ascii="Verdana" w:hAnsi="Verdana"/>
        </w:rPr>
        <w:t xml:space="preserve">evolución reciente de las políticas sanitarias pone de manifiesto una tendencia </w:t>
      </w:r>
      <w:r w:rsidR="00B05C63">
        <w:rPr>
          <w:rFonts w:ascii="Verdana" w:hAnsi="Verdana"/>
        </w:rPr>
        <w:t>a</w:t>
      </w:r>
      <w:r w:rsidR="00964A62">
        <w:rPr>
          <w:rFonts w:ascii="Verdana" w:hAnsi="Verdana"/>
        </w:rPr>
        <w:t xml:space="preserve"> la ampliación o redistribución de competencias clínicas hacia categorías profesionales distintas de la medicina,</w:t>
      </w:r>
      <w:r w:rsidR="00B05C63">
        <w:rPr>
          <w:rFonts w:ascii="Verdana" w:hAnsi="Verdana"/>
        </w:rPr>
        <w:t xml:space="preserve"> impulsada</w:t>
      </w:r>
      <w:r w:rsidR="00964A62">
        <w:rPr>
          <w:rFonts w:ascii="Verdana" w:hAnsi="Verdana"/>
        </w:rPr>
        <w:t xml:space="preserve"> por la escasez de personal, las necesidades organizativas y la búsqueda de eficiencia del sistema. </w:t>
      </w:r>
    </w:p>
    <w:p w14:paraId="39C2A495" w14:textId="77777777" w:rsidR="007504D0" w:rsidRDefault="007504D0" w:rsidP="000E4FE0">
      <w:pPr>
        <w:jc w:val="both"/>
        <w:rPr>
          <w:rFonts w:ascii="Verdana" w:hAnsi="Verdana"/>
        </w:rPr>
      </w:pPr>
      <w:r>
        <w:rPr>
          <w:rFonts w:ascii="Verdana" w:hAnsi="Verdana"/>
        </w:rPr>
        <w:t>E</w:t>
      </w:r>
      <w:r w:rsidR="00513A9A">
        <w:rPr>
          <w:rFonts w:ascii="Verdana" w:hAnsi="Verdana"/>
        </w:rPr>
        <w:t>l sistema sanitario británico constituye el ejemplo más relevante, habiendo desarrollado desde la década de los noventa distintos modelos de ampliación de funciones clínicas mediante la incorporación de nuevas figuras profesionales.</w:t>
      </w:r>
      <w:r>
        <w:rPr>
          <w:rFonts w:ascii="Verdana" w:hAnsi="Verdana"/>
        </w:rPr>
        <w:t xml:space="preserve"> </w:t>
      </w:r>
    </w:p>
    <w:p w14:paraId="13CD86B9" w14:textId="69BBEF0D" w:rsidR="00513A9A" w:rsidRDefault="00513A9A" w:rsidP="000E4FE0">
      <w:pPr>
        <w:jc w:val="both"/>
        <w:rPr>
          <w:rFonts w:ascii="Verdana" w:hAnsi="Verdana"/>
        </w:rPr>
      </w:pPr>
      <w:r>
        <w:rPr>
          <w:rFonts w:ascii="Verdana" w:hAnsi="Verdana"/>
        </w:rPr>
        <w:t xml:space="preserve">Tras más de dos décadas de evolución, este modelo ha sido objeto de revisión institucional por parte del Gobierno británico, a través de informes independientes como la revisión liderada por Leng, en la que se han identificado </w:t>
      </w:r>
      <w:r w:rsidR="007504D0">
        <w:rPr>
          <w:rFonts w:ascii="Verdana" w:hAnsi="Verdana"/>
        </w:rPr>
        <w:t>dificultades en la</w:t>
      </w:r>
      <w:r>
        <w:rPr>
          <w:rFonts w:ascii="Verdana" w:hAnsi="Verdana"/>
        </w:rPr>
        <w:t xml:space="preserve"> delimitación de funciones, </w:t>
      </w:r>
      <w:r w:rsidR="007504D0">
        <w:rPr>
          <w:rFonts w:ascii="Verdana" w:hAnsi="Verdana"/>
        </w:rPr>
        <w:t xml:space="preserve">deficiencias en </w:t>
      </w:r>
      <w:r>
        <w:rPr>
          <w:rFonts w:ascii="Verdana" w:hAnsi="Verdana"/>
        </w:rPr>
        <w:t>la supervisión clínica, variabilidad en la formación y la necesidad de reforzar los mecanismos de regulación.</w:t>
      </w:r>
    </w:p>
    <w:p w14:paraId="6513C4F9" w14:textId="24884D86" w:rsidR="00513A9A" w:rsidRDefault="00513A9A" w:rsidP="000E4FE0">
      <w:pPr>
        <w:jc w:val="both"/>
        <w:rPr>
          <w:rFonts w:ascii="Verdana" w:hAnsi="Verdana"/>
        </w:rPr>
      </w:pPr>
      <w:r>
        <w:rPr>
          <w:rFonts w:ascii="Verdana" w:hAnsi="Verdana"/>
        </w:rPr>
        <w:t xml:space="preserve">Esta evolución pone de manifiesto que la redistribución de competencias clínicas </w:t>
      </w:r>
      <w:r w:rsidR="007504D0">
        <w:rPr>
          <w:rFonts w:ascii="Verdana" w:hAnsi="Verdana"/>
        </w:rPr>
        <w:t>conlleva</w:t>
      </w:r>
      <w:r>
        <w:rPr>
          <w:rFonts w:ascii="Verdana" w:hAnsi="Verdana"/>
        </w:rPr>
        <w:t xml:space="preserve"> implicaciones que deben ser evaluadas con especial cautela desde la perspectiva de la seguridad del paciente, la calidad asistencial y la trazabilidad de la responsabilidad.</w:t>
      </w:r>
    </w:p>
    <w:p w14:paraId="30BF707F" w14:textId="346D3B8A" w:rsidR="00513A9A" w:rsidRDefault="00513A9A" w:rsidP="000E4FE0">
      <w:pPr>
        <w:jc w:val="both"/>
        <w:rPr>
          <w:rFonts w:ascii="Verdana" w:hAnsi="Verdana"/>
        </w:rPr>
      </w:pPr>
      <w:r>
        <w:rPr>
          <w:rFonts w:ascii="Verdana" w:hAnsi="Verdana"/>
        </w:rPr>
        <w:t xml:space="preserve">Por tanto, la experiencia comparada evidencia que la implantación de estos modelos no puede ni debe abordarse desde criterios organizativos o de eficiencia, sino que requiere un análisis estructural de sus implicaciones jurídicas y asistenciales. </w:t>
      </w:r>
    </w:p>
    <w:p w14:paraId="2710CE43" w14:textId="2BDB53AD" w:rsidR="0005482A" w:rsidRDefault="00513A9A" w:rsidP="000E4FE0">
      <w:pPr>
        <w:jc w:val="both"/>
        <w:rPr>
          <w:rFonts w:ascii="Verdana" w:hAnsi="Verdana"/>
        </w:rPr>
      </w:pPr>
      <w:r>
        <w:rPr>
          <w:rFonts w:ascii="Verdana" w:hAnsi="Verdana"/>
        </w:rPr>
        <w:t>Resta únicamente añadir que la</w:t>
      </w:r>
      <w:r w:rsidR="000E4FE0" w:rsidRPr="003A495D">
        <w:rPr>
          <w:rFonts w:ascii="Verdana" w:hAnsi="Verdana"/>
        </w:rPr>
        <w:t xml:space="preserve"> experiencia internacional acumulada, </w:t>
      </w:r>
      <w:r w:rsidR="00B53C3D">
        <w:rPr>
          <w:rFonts w:ascii="Verdana" w:hAnsi="Verdana"/>
        </w:rPr>
        <w:t>particularmente la an</w:t>
      </w:r>
      <w:r>
        <w:rPr>
          <w:rFonts w:ascii="Verdana" w:hAnsi="Verdana"/>
        </w:rPr>
        <w:t>a</w:t>
      </w:r>
      <w:r w:rsidR="00B53C3D">
        <w:rPr>
          <w:rFonts w:ascii="Verdana" w:hAnsi="Verdana"/>
        </w:rPr>
        <w:t xml:space="preserve">lizada en revisiones recientes, </w:t>
      </w:r>
      <w:r w:rsidR="000E4FE0" w:rsidRPr="003A495D">
        <w:rPr>
          <w:rFonts w:ascii="Verdana" w:hAnsi="Verdana"/>
        </w:rPr>
        <w:t xml:space="preserve">muestra que la erosión de </w:t>
      </w:r>
      <w:r w:rsidR="0005482A">
        <w:rPr>
          <w:rFonts w:ascii="Verdana" w:hAnsi="Verdana"/>
        </w:rPr>
        <w:t>la</w:t>
      </w:r>
      <w:r w:rsidR="000E4FE0" w:rsidRPr="003A495D">
        <w:rPr>
          <w:rFonts w:ascii="Verdana" w:hAnsi="Verdana"/>
        </w:rPr>
        <w:t xml:space="preserve"> reserva competencial no solo compromete la seguridad del paciente, sino que socava la sostenibilidad económica de</w:t>
      </w:r>
      <w:r w:rsidR="0005482A">
        <w:rPr>
          <w:rFonts w:ascii="Verdana" w:hAnsi="Verdana"/>
        </w:rPr>
        <w:t xml:space="preserve"> los</w:t>
      </w:r>
      <w:r w:rsidR="000E4FE0" w:rsidRPr="003A495D">
        <w:rPr>
          <w:rFonts w:ascii="Verdana" w:hAnsi="Verdana"/>
        </w:rPr>
        <w:t xml:space="preserve"> sistema</w:t>
      </w:r>
      <w:r w:rsidR="0005482A">
        <w:rPr>
          <w:rFonts w:ascii="Verdana" w:hAnsi="Verdana"/>
        </w:rPr>
        <w:t>s</w:t>
      </w:r>
      <w:r w:rsidR="000E4FE0" w:rsidRPr="003A495D">
        <w:rPr>
          <w:rFonts w:ascii="Verdana" w:hAnsi="Verdana"/>
        </w:rPr>
        <w:t xml:space="preserve"> de salud. </w:t>
      </w:r>
    </w:p>
    <w:p w14:paraId="3F6B4F5A" w14:textId="77777777" w:rsidR="006769D6" w:rsidRPr="003A495D" w:rsidRDefault="006769D6" w:rsidP="003A495D">
      <w:pPr>
        <w:jc w:val="both"/>
        <w:rPr>
          <w:rFonts w:ascii="Verdana" w:hAnsi="Verdana"/>
        </w:rPr>
      </w:pPr>
    </w:p>
    <w:p w14:paraId="1A2C9018" w14:textId="4CB2B482" w:rsidR="00D167C6" w:rsidRDefault="003A495D" w:rsidP="003A495D">
      <w:pPr>
        <w:jc w:val="both"/>
        <w:rPr>
          <w:rFonts w:ascii="Verdana" w:hAnsi="Verdana"/>
          <w:b/>
          <w:bCs/>
        </w:rPr>
      </w:pPr>
      <w:r w:rsidRPr="003A495D">
        <w:rPr>
          <w:rFonts w:ascii="Verdana" w:hAnsi="Verdana"/>
          <w:b/>
          <w:bCs/>
        </w:rPr>
        <w:t xml:space="preserve">II. </w:t>
      </w:r>
      <w:r w:rsidR="00D167C6">
        <w:rPr>
          <w:rFonts w:ascii="Verdana" w:hAnsi="Verdana"/>
          <w:b/>
          <w:bCs/>
        </w:rPr>
        <w:t>EL ACTO MÉDICO COMO NÚCLEO</w:t>
      </w:r>
      <w:r w:rsidR="00427655">
        <w:rPr>
          <w:rFonts w:ascii="Verdana" w:hAnsi="Verdana"/>
          <w:b/>
          <w:bCs/>
        </w:rPr>
        <w:t xml:space="preserve"> DE LA ASISTENCIA SANITARIA</w:t>
      </w:r>
    </w:p>
    <w:p w14:paraId="6EE93159" w14:textId="77777777" w:rsidR="00D167C6" w:rsidRDefault="00D167C6" w:rsidP="003A495D">
      <w:pPr>
        <w:jc w:val="both"/>
        <w:rPr>
          <w:rFonts w:ascii="Verdana" w:hAnsi="Verdana"/>
        </w:rPr>
      </w:pPr>
      <w:r w:rsidRPr="00D167C6">
        <w:rPr>
          <w:rFonts w:ascii="Verdana" w:hAnsi="Verdana"/>
        </w:rPr>
        <w:t>El acto médico constituye el núcleo de la asistencia sanitaria</w:t>
      </w:r>
      <w:r>
        <w:rPr>
          <w:rFonts w:ascii="Verdana" w:hAnsi="Verdana"/>
        </w:rPr>
        <w:t xml:space="preserve">. </w:t>
      </w:r>
    </w:p>
    <w:p w14:paraId="286D9F85" w14:textId="51155A2E" w:rsidR="00D167C6" w:rsidRDefault="00D167C6" w:rsidP="003A495D">
      <w:pPr>
        <w:jc w:val="both"/>
        <w:rPr>
          <w:rFonts w:ascii="Verdana" w:hAnsi="Verdana"/>
        </w:rPr>
      </w:pPr>
      <w:r>
        <w:rPr>
          <w:rFonts w:ascii="Verdana" w:hAnsi="Verdana"/>
        </w:rPr>
        <w:lastRenderedPageBreak/>
        <w:t xml:space="preserve">Su fragmentación podría generar una disociación entre la decisión clínica y la responsabilidad jurídica, con implicaciones relevantes para la seguridad del paciente y la trazabilidad de la actuación asistencial. </w:t>
      </w:r>
    </w:p>
    <w:p w14:paraId="75E51E4B" w14:textId="4C441B0E" w:rsidR="00D167C6" w:rsidRDefault="00D167C6" w:rsidP="003A495D">
      <w:pPr>
        <w:jc w:val="both"/>
        <w:rPr>
          <w:rFonts w:ascii="Verdana" w:hAnsi="Verdana"/>
        </w:rPr>
      </w:pPr>
      <w:r>
        <w:rPr>
          <w:rFonts w:ascii="Verdana" w:hAnsi="Verdana"/>
        </w:rPr>
        <w:t xml:space="preserve">Asimismo, el acto médico engloba la indicación y realización de procedimientos diagnósticos y terapéuticos de distinta complejidad, incluyendo aquellos de carácter invasivo, cuya práctica implica un riesgo directo para el paciente y exige una capacitación </w:t>
      </w:r>
      <w:r w:rsidR="008742F2">
        <w:rPr>
          <w:rFonts w:ascii="Verdana" w:hAnsi="Verdana"/>
        </w:rPr>
        <w:t xml:space="preserve">clínica específica, así como la asunción de la correspondiente responsabilidad. </w:t>
      </w:r>
    </w:p>
    <w:p w14:paraId="76570E3D" w14:textId="1B26F030" w:rsidR="008742F2" w:rsidRDefault="008742F2" w:rsidP="003A495D">
      <w:pPr>
        <w:jc w:val="both"/>
        <w:rPr>
          <w:rFonts w:ascii="Verdana" w:hAnsi="Verdana"/>
        </w:rPr>
      </w:pPr>
      <w:r>
        <w:rPr>
          <w:rFonts w:ascii="Verdana" w:hAnsi="Verdana"/>
        </w:rPr>
        <w:t>En este sentido la delimitación de estas actuaciones ha sido objeto de controversia en la práctica y en la jurisprudencia, existiendo pronunciamientos que vinculan determinados procedimientos, especialmente en el ámbito de la medicina estética y las infiltraciones, al ejercicio propio de la medicina, en atención a la necesidad de diagnóstico previo y decisión terapéutica. Esta situación evidencia la necesidad de una delimitación precisa del marco competencial, a fin de evitar situaciones de inseguridad jurídica y garantizar la adecuada correspondencia entre decisión clínica, formación y responsabilidad.</w:t>
      </w:r>
    </w:p>
    <w:p w14:paraId="6302213F" w14:textId="77777777" w:rsidR="008742F2" w:rsidRDefault="008742F2" w:rsidP="003A495D">
      <w:pPr>
        <w:jc w:val="both"/>
        <w:rPr>
          <w:rFonts w:ascii="Verdana" w:hAnsi="Verdana"/>
        </w:rPr>
      </w:pPr>
    </w:p>
    <w:p w14:paraId="5E120522" w14:textId="7D52DC16" w:rsidR="003A495D" w:rsidRPr="003A495D" w:rsidRDefault="00D167C6" w:rsidP="003A495D">
      <w:pPr>
        <w:jc w:val="both"/>
        <w:rPr>
          <w:rFonts w:ascii="Verdana" w:hAnsi="Verdana"/>
          <w:b/>
          <w:bCs/>
        </w:rPr>
      </w:pPr>
      <w:r>
        <w:rPr>
          <w:rFonts w:ascii="Verdana" w:hAnsi="Verdana"/>
          <w:b/>
          <w:bCs/>
        </w:rPr>
        <w:t xml:space="preserve">III. </w:t>
      </w:r>
      <w:r w:rsidR="003A495D" w:rsidRPr="003A495D">
        <w:rPr>
          <w:rFonts w:ascii="Verdana" w:hAnsi="Verdana"/>
          <w:b/>
          <w:bCs/>
        </w:rPr>
        <w:t>ANÁLISIS CRÍTICO DEL MODELO BRITÁNICO: EVIDENCIAS DEL "THE LENG REVIEW"</w:t>
      </w:r>
      <w:r w:rsidR="00FA2F04">
        <w:rPr>
          <w:rFonts w:ascii="Verdana" w:hAnsi="Verdana"/>
          <w:b/>
          <w:bCs/>
        </w:rPr>
        <w:t xml:space="preserve"> Y </w:t>
      </w:r>
      <w:r w:rsidR="008742F2">
        <w:rPr>
          <w:rFonts w:ascii="Verdana" w:hAnsi="Verdana"/>
          <w:b/>
          <w:bCs/>
        </w:rPr>
        <w:t>E</w:t>
      </w:r>
      <w:r w:rsidR="00FA2F04">
        <w:rPr>
          <w:rFonts w:ascii="Verdana" w:hAnsi="Verdana"/>
          <w:b/>
          <w:bCs/>
        </w:rPr>
        <w:t>VALUACIÓN DE</w:t>
      </w:r>
      <w:r w:rsidR="000938CC">
        <w:rPr>
          <w:rFonts w:ascii="Verdana" w:hAnsi="Verdana"/>
          <w:b/>
          <w:bCs/>
        </w:rPr>
        <w:t xml:space="preserve">L MODELO DE AMPLIACIÓN DE COMPETENCIAS </w:t>
      </w:r>
    </w:p>
    <w:p w14:paraId="745BC057" w14:textId="77777777" w:rsidR="003A495D" w:rsidRPr="003A495D" w:rsidRDefault="003A495D" w:rsidP="003A495D">
      <w:pPr>
        <w:jc w:val="both"/>
        <w:rPr>
          <w:rFonts w:ascii="Verdana" w:hAnsi="Verdana"/>
        </w:rPr>
      </w:pPr>
      <w:r w:rsidRPr="003A495D">
        <w:rPr>
          <w:rFonts w:ascii="Verdana" w:hAnsi="Verdana"/>
        </w:rPr>
        <w:t xml:space="preserve">El informe independiente "The Leng </w:t>
      </w:r>
      <w:proofErr w:type="spellStart"/>
      <w:r w:rsidRPr="003A495D">
        <w:rPr>
          <w:rFonts w:ascii="Verdana" w:hAnsi="Verdana"/>
        </w:rPr>
        <w:t>Review</w:t>
      </w:r>
      <w:proofErr w:type="spellEnd"/>
      <w:r w:rsidRPr="003A495D">
        <w:rPr>
          <w:rFonts w:ascii="Verdana" w:hAnsi="Verdana"/>
        </w:rPr>
        <w:t>", publicado en julio de 2025, ofrece una perspectiva de precaución fundamental sobre el uso de categorías profesionales diferentes a la medicina en roles tradicionalmente facultativos.</w:t>
      </w:r>
    </w:p>
    <w:p w14:paraId="7EEEC562" w14:textId="12D00544" w:rsidR="003A495D" w:rsidRPr="003A495D" w:rsidRDefault="003A495D" w:rsidP="003A495D">
      <w:pPr>
        <w:jc w:val="both"/>
        <w:rPr>
          <w:rFonts w:ascii="Verdana" w:hAnsi="Verdana"/>
        </w:rPr>
      </w:pPr>
      <w:r w:rsidRPr="003A495D">
        <w:rPr>
          <w:rFonts w:ascii="Verdana" w:hAnsi="Verdana"/>
          <w:b/>
          <w:bCs/>
        </w:rPr>
        <w:t>1. Riesgos para la seguridad del paciente</w:t>
      </w:r>
      <w:r w:rsidR="006769D6">
        <w:rPr>
          <w:rFonts w:ascii="Verdana" w:hAnsi="Verdana"/>
          <w:b/>
          <w:bCs/>
        </w:rPr>
        <w:t>.</w:t>
      </w:r>
      <w:r w:rsidRPr="003A495D">
        <w:rPr>
          <w:rFonts w:ascii="Verdana" w:hAnsi="Verdana"/>
        </w:rPr>
        <w:t xml:space="preserve"> El informe advierte que la evidencia sobre la seguridad y efectividad de estos roles es "débil" y de "baja calidad". De especial relevancia es el análisis de los avisos para la "Prevención de muertes futuras" (notificaciones forenses para evitar negligencias fatales), donde se constata que tareas nucleares como el diagnóstico y la prescripción aparecen en aproximadamente el 20% de dichos avisos de mortalidad prevenible. Esta cifra es una señal de alarma sobre el riesgo letal que conlleva la transferencia de competencias médicas a categorías con una formación clínica significativamente inferior.</w:t>
      </w:r>
    </w:p>
    <w:p w14:paraId="29174381" w14:textId="5166C5D0" w:rsidR="003A495D" w:rsidRPr="003A495D" w:rsidRDefault="003A495D" w:rsidP="003A495D">
      <w:pPr>
        <w:jc w:val="both"/>
        <w:rPr>
          <w:rFonts w:ascii="Verdana" w:hAnsi="Verdana"/>
        </w:rPr>
      </w:pPr>
      <w:r w:rsidRPr="003A495D">
        <w:rPr>
          <w:rFonts w:ascii="Verdana" w:hAnsi="Verdana"/>
          <w:b/>
          <w:bCs/>
        </w:rPr>
        <w:t>2. Fragmentación y falta de supervisión</w:t>
      </w:r>
      <w:r w:rsidR="006769D6">
        <w:rPr>
          <w:rFonts w:ascii="Verdana" w:hAnsi="Verdana"/>
          <w:b/>
          <w:bCs/>
        </w:rPr>
        <w:t>.</w:t>
      </w:r>
      <w:r w:rsidRPr="003A495D">
        <w:rPr>
          <w:rFonts w:ascii="Verdana" w:hAnsi="Verdana"/>
        </w:rPr>
        <w:t xml:space="preserve"> Un hallazgo estructural del informe británico es la inconsistencia en los estándares de supervisión. Muchos profesionales en formación en estas categorías </w:t>
      </w:r>
      <w:r w:rsidRPr="003A495D">
        <w:rPr>
          <w:rFonts w:ascii="Verdana" w:hAnsi="Verdana"/>
        </w:rPr>
        <w:lastRenderedPageBreak/>
        <w:t xml:space="preserve">informan de una falta de tiempo de supervisión protegida, lo que deriva en que asuman juicios diagnósticos complejos en aislamiento. La "The Leng </w:t>
      </w:r>
      <w:proofErr w:type="spellStart"/>
      <w:r w:rsidRPr="003A495D">
        <w:rPr>
          <w:rFonts w:ascii="Verdana" w:hAnsi="Verdana"/>
        </w:rPr>
        <w:t>Review</w:t>
      </w:r>
      <w:proofErr w:type="spellEnd"/>
      <w:r w:rsidRPr="003A495D">
        <w:rPr>
          <w:rFonts w:ascii="Verdana" w:hAnsi="Verdana"/>
        </w:rPr>
        <w:t>" concluye que no se debe interpretar la falta de evidencia sistemática de daños como una prueba de su ausencia, dado que los sistemas actuales son a menudo incapaces de identificar al profesional responsable en las quejas clínicas.</w:t>
      </w:r>
    </w:p>
    <w:p w14:paraId="7C856BEC" w14:textId="6EBF9AAB" w:rsidR="003A495D" w:rsidRDefault="003A495D" w:rsidP="003A495D">
      <w:pPr>
        <w:jc w:val="both"/>
        <w:rPr>
          <w:rFonts w:ascii="Verdana" w:hAnsi="Verdana"/>
        </w:rPr>
      </w:pPr>
      <w:r w:rsidRPr="003A495D">
        <w:rPr>
          <w:rFonts w:ascii="Verdana" w:hAnsi="Verdana"/>
          <w:b/>
          <w:bCs/>
        </w:rPr>
        <w:t>3. Necesidad de claridad terminológica</w:t>
      </w:r>
      <w:r w:rsidR="006769D6">
        <w:rPr>
          <w:rFonts w:ascii="Verdana" w:hAnsi="Verdana"/>
          <w:b/>
          <w:bCs/>
        </w:rPr>
        <w:t>.</w:t>
      </w:r>
      <w:r w:rsidRPr="003A495D">
        <w:rPr>
          <w:rFonts w:ascii="Verdana" w:hAnsi="Verdana"/>
        </w:rPr>
        <w:t xml:space="preserve"> El informe propone, como recomendación central, renombrar estas funciones a términos que indiquen claramente su naturaleza de "asistente" o "ayuda" médica, en lugar de utilizar términos que induzcan a la ambigüedad sobre su autonomía. Esto responde a una preocupación directa de las asociaciones de pacientes, que han denunciado la confusión del público al no saber si están siendo atendidos por un médico u otro profesional.</w:t>
      </w:r>
    </w:p>
    <w:p w14:paraId="03D24297" w14:textId="77777777" w:rsidR="006769D6" w:rsidRPr="003A495D" w:rsidRDefault="006769D6" w:rsidP="003A495D">
      <w:pPr>
        <w:jc w:val="both"/>
        <w:rPr>
          <w:rFonts w:ascii="Verdana" w:hAnsi="Verdana"/>
        </w:rPr>
      </w:pPr>
    </w:p>
    <w:p w14:paraId="258A488D" w14:textId="6ED23CE0" w:rsidR="003A495D" w:rsidRPr="003A495D" w:rsidRDefault="003A495D" w:rsidP="003A495D">
      <w:pPr>
        <w:jc w:val="both"/>
        <w:rPr>
          <w:rFonts w:ascii="Verdana" w:hAnsi="Verdana"/>
          <w:b/>
          <w:bCs/>
        </w:rPr>
      </w:pPr>
      <w:r w:rsidRPr="003A495D">
        <w:rPr>
          <w:rFonts w:ascii="Verdana" w:hAnsi="Verdana"/>
          <w:b/>
          <w:bCs/>
        </w:rPr>
        <w:t>I</w:t>
      </w:r>
      <w:r w:rsidR="008742F2">
        <w:rPr>
          <w:rFonts w:ascii="Verdana" w:hAnsi="Verdana"/>
          <w:b/>
          <w:bCs/>
        </w:rPr>
        <w:t>V</w:t>
      </w:r>
      <w:r w:rsidRPr="003A495D">
        <w:rPr>
          <w:rFonts w:ascii="Verdana" w:hAnsi="Verdana"/>
          <w:b/>
          <w:bCs/>
        </w:rPr>
        <w:t>. RIESGOS DE EXTRAPOL</w:t>
      </w:r>
      <w:r w:rsidR="006769D6">
        <w:rPr>
          <w:rFonts w:ascii="Verdana" w:hAnsi="Verdana"/>
          <w:b/>
          <w:bCs/>
        </w:rPr>
        <w:t>AR DICHO MODELO</w:t>
      </w:r>
      <w:r w:rsidRPr="003A495D">
        <w:rPr>
          <w:rFonts w:ascii="Verdana" w:hAnsi="Verdana"/>
          <w:b/>
          <w:bCs/>
        </w:rPr>
        <w:t xml:space="preserve"> AL SISTEMA SANITARIO ESPAÑOL</w:t>
      </w:r>
    </w:p>
    <w:p w14:paraId="450E20F7" w14:textId="77777777" w:rsidR="003A495D" w:rsidRPr="003A495D" w:rsidRDefault="003A495D" w:rsidP="003A495D">
      <w:pPr>
        <w:jc w:val="both"/>
        <w:rPr>
          <w:rFonts w:ascii="Verdana" w:hAnsi="Verdana"/>
        </w:rPr>
      </w:pPr>
      <w:r w:rsidRPr="003A495D">
        <w:rPr>
          <w:rFonts w:ascii="Verdana" w:hAnsi="Verdana"/>
        </w:rPr>
        <w:t>La implementación en España de un modelo que facilite la asunción de actos médicos por categorías diferentes a la medicina plantea riesgos específicos de incalculable magnitud.</w:t>
      </w:r>
    </w:p>
    <w:p w14:paraId="4A13721B" w14:textId="3254A0EF" w:rsidR="003A495D" w:rsidRPr="003A495D" w:rsidRDefault="003A495D" w:rsidP="003A495D">
      <w:pPr>
        <w:jc w:val="both"/>
        <w:rPr>
          <w:rFonts w:ascii="Verdana" w:hAnsi="Verdana"/>
        </w:rPr>
      </w:pPr>
      <w:r w:rsidRPr="003A495D">
        <w:rPr>
          <w:rFonts w:ascii="Verdana" w:hAnsi="Verdana"/>
          <w:b/>
          <w:bCs/>
        </w:rPr>
        <w:t>1. Vulnerabilidad jurídica y negligencia</w:t>
      </w:r>
      <w:r w:rsidR="006769D6">
        <w:rPr>
          <w:rFonts w:ascii="Verdana" w:hAnsi="Verdana"/>
          <w:b/>
          <w:bCs/>
        </w:rPr>
        <w:t>.</w:t>
      </w:r>
      <w:r w:rsidRPr="003A495D">
        <w:rPr>
          <w:rFonts w:ascii="Verdana" w:hAnsi="Verdana"/>
        </w:rPr>
        <w:t xml:space="preserve"> En el ordenamiento jurídico español, la </w:t>
      </w:r>
      <w:r w:rsidRPr="003A495D">
        <w:rPr>
          <w:rFonts w:ascii="Verdana" w:hAnsi="Verdana"/>
          <w:i/>
          <w:iCs/>
        </w:rPr>
        <w:t xml:space="preserve">lex </w:t>
      </w:r>
      <w:proofErr w:type="spellStart"/>
      <w:r w:rsidRPr="003A495D">
        <w:rPr>
          <w:rFonts w:ascii="Verdana" w:hAnsi="Verdana"/>
          <w:i/>
          <w:iCs/>
        </w:rPr>
        <w:t>artis</w:t>
      </w:r>
      <w:proofErr w:type="spellEnd"/>
      <w:r w:rsidRPr="003A495D">
        <w:rPr>
          <w:rFonts w:ascii="Verdana" w:hAnsi="Verdana"/>
        </w:rPr>
        <w:t xml:space="preserve"> se aplica de forma estricta según la titulación y la competencia. El informe británico subraya que los tribunales procesan de forma diferenciada la negligencia profesional según el estamento, y transferir el diagnóstico a personal no médico generará una zona de sombra legal que aumentará la litigiosidad contra la Administración. Sin la</w:t>
      </w:r>
      <w:r w:rsidR="006769D6">
        <w:rPr>
          <w:rFonts w:ascii="Verdana" w:hAnsi="Verdana"/>
        </w:rPr>
        <w:t xml:space="preserve"> </w:t>
      </w:r>
      <w:r w:rsidRPr="003A495D">
        <w:rPr>
          <w:rFonts w:ascii="Verdana" w:hAnsi="Verdana"/>
        </w:rPr>
        <w:t>formación de 10 a 12 años exigida para el médico especialista (MIR), el profesional de otra categoría carece del respaldo técnico-científico para afrontar decisiones de alta incertidumbre clínica.</w:t>
      </w:r>
    </w:p>
    <w:p w14:paraId="670D4F7F" w14:textId="76A9E053" w:rsidR="003A495D" w:rsidRDefault="003A495D" w:rsidP="003A495D">
      <w:pPr>
        <w:jc w:val="both"/>
        <w:rPr>
          <w:rFonts w:ascii="Verdana" w:hAnsi="Verdana"/>
        </w:rPr>
      </w:pPr>
      <w:r w:rsidRPr="003A495D">
        <w:rPr>
          <w:rFonts w:ascii="Verdana" w:hAnsi="Verdana"/>
          <w:b/>
          <w:bCs/>
        </w:rPr>
        <w:t>2. Erosión de la especialización médica</w:t>
      </w:r>
      <w:r w:rsidR="006769D6">
        <w:rPr>
          <w:rFonts w:ascii="Verdana" w:hAnsi="Verdana"/>
          <w:b/>
          <w:bCs/>
        </w:rPr>
        <w:t>.</w:t>
      </w:r>
      <w:r w:rsidRPr="003A495D">
        <w:rPr>
          <w:rFonts w:ascii="Verdana" w:hAnsi="Verdana"/>
        </w:rPr>
        <w:t xml:space="preserve"> El sistema MIR es el pilar de la calidad del Sistema Nacional de Salud (SNS). Permitir que un profesional de otra categoría asuma funciones médicas basándose en un máster académico</w:t>
      </w:r>
      <w:r>
        <w:rPr>
          <w:rFonts w:ascii="Verdana" w:hAnsi="Verdana"/>
        </w:rPr>
        <w:t xml:space="preserve">, </w:t>
      </w:r>
      <w:r w:rsidRPr="003A495D">
        <w:rPr>
          <w:rFonts w:ascii="Verdana" w:hAnsi="Verdana"/>
        </w:rPr>
        <w:t xml:space="preserve">que </w:t>
      </w:r>
      <w:r w:rsidR="006769D6">
        <w:rPr>
          <w:rFonts w:ascii="Verdana" w:hAnsi="Verdana"/>
        </w:rPr>
        <w:t xml:space="preserve">además según pone a la luz </w:t>
      </w:r>
      <w:r w:rsidRPr="003A495D">
        <w:rPr>
          <w:rFonts w:ascii="Verdana" w:hAnsi="Verdana"/>
        </w:rPr>
        <w:t>el informe británico</w:t>
      </w:r>
      <w:r w:rsidR="006769D6">
        <w:rPr>
          <w:rFonts w:ascii="Verdana" w:hAnsi="Verdana"/>
        </w:rPr>
        <w:t xml:space="preserve">, </w:t>
      </w:r>
      <w:r w:rsidRPr="003A495D">
        <w:rPr>
          <w:rFonts w:ascii="Verdana" w:hAnsi="Verdana"/>
        </w:rPr>
        <w:t>a menudo tiene contenidos de nivel de grado bajo una etiqueta de posgrado</w:t>
      </w:r>
      <w:r>
        <w:rPr>
          <w:rFonts w:ascii="Verdana" w:hAnsi="Verdana"/>
        </w:rPr>
        <w:t>,</w:t>
      </w:r>
      <w:r w:rsidRPr="003A495D">
        <w:rPr>
          <w:rFonts w:ascii="Verdana" w:hAnsi="Verdana"/>
        </w:rPr>
        <w:t xml:space="preserve"> desvirtúa el valor de la especialización y reduce los estándares de seguridad de la ciudadanía.</w:t>
      </w:r>
    </w:p>
    <w:p w14:paraId="64257A17" w14:textId="77777777" w:rsidR="006769D6" w:rsidRPr="003A495D" w:rsidRDefault="006769D6" w:rsidP="003A495D">
      <w:pPr>
        <w:jc w:val="both"/>
        <w:rPr>
          <w:rFonts w:ascii="Verdana" w:hAnsi="Verdana"/>
        </w:rPr>
      </w:pPr>
    </w:p>
    <w:p w14:paraId="04AFA53D" w14:textId="12764FCB" w:rsidR="003A495D" w:rsidRPr="003A495D" w:rsidRDefault="003A495D" w:rsidP="003A495D">
      <w:pPr>
        <w:jc w:val="both"/>
        <w:rPr>
          <w:rFonts w:ascii="Verdana" w:hAnsi="Verdana"/>
          <w:b/>
          <w:bCs/>
        </w:rPr>
      </w:pPr>
      <w:r w:rsidRPr="003A495D">
        <w:rPr>
          <w:rFonts w:ascii="Verdana" w:hAnsi="Verdana"/>
          <w:b/>
          <w:bCs/>
        </w:rPr>
        <w:lastRenderedPageBreak/>
        <w:t>V. EL IMPACTO ECONÓMICO: LA FALACIA DEL AHORRO DE COSTES</w:t>
      </w:r>
    </w:p>
    <w:p w14:paraId="6162D06D" w14:textId="77777777" w:rsidR="003A495D" w:rsidRPr="003A495D" w:rsidRDefault="003A495D" w:rsidP="003A495D">
      <w:pPr>
        <w:jc w:val="both"/>
        <w:rPr>
          <w:rFonts w:ascii="Verdana" w:hAnsi="Verdana"/>
        </w:rPr>
      </w:pPr>
      <w:r w:rsidRPr="003A495D">
        <w:rPr>
          <w:rFonts w:ascii="Verdana" w:hAnsi="Verdana"/>
        </w:rPr>
        <w:t>Uno de los argumentos recurrentes a favor de la transferencia de competencias es la supuesta eficiencia económica derivada del menor salario de categorías diferentes a la medicina en comparación con los facultativos. No obstante, los informes de la OCDE y la evidencia científica más reciente refutan este planteamiento.</w:t>
      </w:r>
    </w:p>
    <w:p w14:paraId="26E2D970" w14:textId="6E0FD081" w:rsidR="003A495D" w:rsidRPr="003A495D" w:rsidRDefault="003A495D" w:rsidP="003A495D">
      <w:pPr>
        <w:jc w:val="both"/>
        <w:rPr>
          <w:rFonts w:ascii="Verdana" w:hAnsi="Verdana"/>
        </w:rPr>
      </w:pPr>
      <w:r w:rsidRPr="003A495D">
        <w:rPr>
          <w:rFonts w:ascii="Verdana" w:hAnsi="Verdana"/>
          <w:b/>
          <w:bCs/>
        </w:rPr>
        <w:t>1. Incremento en el consumo de recursos y tiempo</w:t>
      </w:r>
      <w:r w:rsidR="006769D6">
        <w:rPr>
          <w:rFonts w:ascii="Verdana" w:hAnsi="Verdana"/>
          <w:b/>
          <w:bCs/>
        </w:rPr>
        <w:t>.</w:t>
      </w:r>
      <w:r w:rsidRPr="003A495D">
        <w:rPr>
          <w:rFonts w:ascii="Verdana" w:hAnsi="Verdana"/>
        </w:rPr>
        <w:t xml:space="preserve"> El estudio sistemático coordinado por Htay y Whitehead demuestra que, aunque la calidad técnica inicial pueda parecer similar en procesos banales, el tiempo dedicado a la consulta por profesionales no médicos es significativamente superior: 12,2 minutos de media frente a los 9,2 minutos del médico de familia. Este incremento del 32% en el tiempo de consulta por paciente tiene un efecto directo en la capacidad de absorción del sistema, agravando potencialmente las listas de espera.</w:t>
      </w:r>
    </w:p>
    <w:p w14:paraId="67BC707B" w14:textId="7128CFF3" w:rsidR="003A495D" w:rsidRPr="003A495D" w:rsidRDefault="003A495D" w:rsidP="003A495D">
      <w:pPr>
        <w:jc w:val="both"/>
        <w:rPr>
          <w:rFonts w:ascii="Verdana" w:hAnsi="Verdana"/>
        </w:rPr>
      </w:pPr>
      <w:r w:rsidRPr="003A495D">
        <w:rPr>
          <w:rFonts w:ascii="Verdana" w:hAnsi="Verdana"/>
          <w:b/>
          <w:bCs/>
        </w:rPr>
        <w:t>2. Mayor tasa de seguimiento y pruebas diagnósticas</w:t>
      </w:r>
      <w:r w:rsidR="00BF01E6">
        <w:rPr>
          <w:rFonts w:ascii="Verdana" w:hAnsi="Verdana"/>
          <w:b/>
          <w:bCs/>
        </w:rPr>
        <w:t>.</w:t>
      </w:r>
      <w:r w:rsidRPr="003A495D">
        <w:rPr>
          <w:rFonts w:ascii="Verdana" w:hAnsi="Verdana"/>
        </w:rPr>
        <w:t xml:space="preserve"> La evidencia recopilada por la OCDE indica que los ahorros iniciales en salarios se erosionan por tres vías principales: el mayor número de visitas de seguimiento solicitadas por estos profesionales para el mismo proceso clínico, un mayor número de derivaciones a especialistas y un incremento en la solicitud de pruebas diagnósticas innecesarias debido a la inseguridad en el juicio clínico.</w:t>
      </w:r>
    </w:p>
    <w:p w14:paraId="433413DF" w14:textId="45BE9DA2" w:rsidR="003A495D" w:rsidRDefault="003A495D" w:rsidP="003A495D">
      <w:pPr>
        <w:jc w:val="both"/>
        <w:rPr>
          <w:rFonts w:ascii="Verdana" w:hAnsi="Verdana"/>
        </w:rPr>
      </w:pPr>
      <w:r w:rsidRPr="003A495D">
        <w:rPr>
          <w:rFonts w:ascii="Verdana" w:hAnsi="Verdana"/>
          <w:b/>
          <w:bCs/>
        </w:rPr>
        <w:t>3. El caso holandés: coste neto superior</w:t>
      </w:r>
      <w:r w:rsidR="00BF01E6">
        <w:rPr>
          <w:rFonts w:ascii="Verdana" w:hAnsi="Verdana"/>
          <w:b/>
          <w:bCs/>
        </w:rPr>
        <w:t>.</w:t>
      </w:r>
      <w:r w:rsidRPr="003A495D">
        <w:rPr>
          <w:rFonts w:ascii="Verdana" w:hAnsi="Verdana"/>
        </w:rPr>
        <w:t xml:space="preserve"> Un estudio multicéntrico realizado en 34 salas de hospital en los Países Bajos analizó la sustitución de médicos por otros profesionales. El resultado fue revelador: aunque los costes de personal directo disminuyeron ligeramente, los costes totales por paciente no variaron de forma significativa e incluso fueron superiores en algunos ítems, debido a que las unidades gestionadas exclusivamente por médicos presentaban estancias hospitalarias más cortas y una mayor eficiencia en el proceso de alta. En resumen, la experiencia en Europa no demuestra un ahorro de costes, situándose en el mejor de los casos en una situación de coste neutro que no justifica el riesgo asistencial asumido.</w:t>
      </w:r>
    </w:p>
    <w:p w14:paraId="18864D87" w14:textId="77777777" w:rsidR="00BF01E6" w:rsidRPr="003A495D" w:rsidRDefault="00BF01E6" w:rsidP="003A495D">
      <w:pPr>
        <w:jc w:val="both"/>
        <w:rPr>
          <w:rFonts w:ascii="Verdana" w:hAnsi="Verdana"/>
        </w:rPr>
      </w:pPr>
    </w:p>
    <w:p w14:paraId="3FEB2F26" w14:textId="5FDFE04F" w:rsidR="003A495D" w:rsidRPr="003A495D" w:rsidRDefault="003A495D" w:rsidP="003A495D">
      <w:pPr>
        <w:jc w:val="both"/>
        <w:rPr>
          <w:rFonts w:ascii="Verdana" w:hAnsi="Verdana"/>
          <w:b/>
          <w:bCs/>
        </w:rPr>
      </w:pPr>
      <w:r w:rsidRPr="003A495D">
        <w:rPr>
          <w:rFonts w:ascii="Verdana" w:hAnsi="Verdana"/>
          <w:b/>
          <w:bCs/>
        </w:rPr>
        <w:t>V</w:t>
      </w:r>
      <w:r w:rsidR="008742F2">
        <w:rPr>
          <w:rFonts w:ascii="Verdana" w:hAnsi="Verdana"/>
          <w:b/>
          <w:bCs/>
        </w:rPr>
        <w:t>I</w:t>
      </w:r>
      <w:r w:rsidRPr="003A495D">
        <w:rPr>
          <w:rFonts w:ascii="Verdana" w:hAnsi="Verdana"/>
          <w:b/>
          <w:bCs/>
        </w:rPr>
        <w:t>. SEGURIDAD DEL PACIENTE Y RESULTADOS EN URGENCIAS</w:t>
      </w:r>
    </w:p>
    <w:p w14:paraId="3C7C962D" w14:textId="77777777" w:rsidR="003A495D" w:rsidRPr="003A495D" w:rsidRDefault="003A495D" w:rsidP="003A495D">
      <w:pPr>
        <w:jc w:val="both"/>
        <w:rPr>
          <w:rFonts w:ascii="Verdana" w:hAnsi="Verdana"/>
        </w:rPr>
      </w:pPr>
      <w:r w:rsidRPr="003A495D">
        <w:rPr>
          <w:rFonts w:ascii="Verdana" w:hAnsi="Verdana"/>
        </w:rPr>
        <w:t xml:space="preserve">La seguridad del paciente debe ser el eje rector de la LOPS bajo el principio de precaución. La evidencia científica arroja datos </w:t>
      </w:r>
      <w:r w:rsidRPr="003A495D">
        <w:rPr>
          <w:rFonts w:ascii="Verdana" w:hAnsi="Verdana"/>
        </w:rPr>
        <w:lastRenderedPageBreak/>
        <w:t>inquietantes sobre el desempeño de roles no médicos en entornos de alta complejidad.</w:t>
      </w:r>
    </w:p>
    <w:p w14:paraId="129A203B" w14:textId="0084B4CB" w:rsidR="003A495D" w:rsidRPr="003A495D" w:rsidRDefault="003A495D" w:rsidP="003A495D">
      <w:pPr>
        <w:jc w:val="both"/>
        <w:rPr>
          <w:rFonts w:ascii="Verdana" w:hAnsi="Verdana"/>
        </w:rPr>
      </w:pPr>
      <w:r w:rsidRPr="003A495D">
        <w:rPr>
          <w:rFonts w:ascii="Verdana" w:hAnsi="Verdana"/>
          <w:b/>
          <w:bCs/>
        </w:rPr>
        <w:t xml:space="preserve">1. El estudio de la </w:t>
      </w:r>
      <w:proofErr w:type="spellStart"/>
      <w:r w:rsidRPr="003A495D">
        <w:rPr>
          <w:rFonts w:ascii="Verdana" w:hAnsi="Verdana"/>
          <w:b/>
          <w:bCs/>
        </w:rPr>
        <w:t>Veterans</w:t>
      </w:r>
      <w:proofErr w:type="spellEnd"/>
      <w:r w:rsidRPr="003A495D">
        <w:rPr>
          <w:rFonts w:ascii="Verdana" w:hAnsi="Verdana"/>
          <w:b/>
          <w:bCs/>
        </w:rPr>
        <w:t xml:space="preserve"> Health </w:t>
      </w:r>
      <w:proofErr w:type="spellStart"/>
      <w:r w:rsidRPr="003A495D">
        <w:rPr>
          <w:rFonts w:ascii="Verdana" w:hAnsi="Verdana"/>
          <w:b/>
          <w:bCs/>
        </w:rPr>
        <w:t>Administration</w:t>
      </w:r>
      <w:proofErr w:type="spellEnd"/>
      <w:r w:rsidRPr="003A495D">
        <w:rPr>
          <w:rFonts w:ascii="Verdana" w:hAnsi="Verdana"/>
          <w:b/>
          <w:bCs/>
        </w:rPr>
        <w:t xml:space="preserve"> (</w:t>
      </w:r>
      <w:proofErr w:type="spellStart"/>
      <w:r w:rsidRPr="003A495D">
        <w:rPr>
          <w:rFonts w:ascii="Verdana" w:hAnsi="Verdana"/>
          <w:b/>
          <w:bCs/>
        </w:rPr>
        <w:t>VHA</w:t>
      </w:r>
      <w:proofErr w:type="spellEnd"/>
      <w:r w:rsidRPr="003A495D">
        <w:rPr>
          <w:rFonts w:ascii="Verdana" w:hAnsi="Verdana"/>
          <w:b/>
          <w:bCs/>
        </w:rPr>
        <w:t>)</w:t>
      </w:r>
      <w:r w:rsidR="00BF01E6">
        <w:rPr>
          <w:rFonts w:ascii="Verdana" w:hAnsi="Verdana"/>
          <w:b/>
          <w:bCs/>
        </w:rPr>
        <w:t>.</w:t>
      </w:r>
      <w:r w:rsidRPr="003A495D">
        <w:rPr>
          <w:rFonts w:ascii="Verdana" w:hAnsi="Verdana"/>
        </w:rPr>
        <w:t xml:space="preserve"> La investigación "The </w:t>
      </w:r>
      <w:proofErr w:type="spellStart"/>
      <w:r w:rsidRPr="003A495D">
        <w:rPr>
          <w:rFonts w:ascii="Verdana" w:hAnsi="Verdana"/>
        </w:rPr>
        <w:t>Productivity</w:t>
      </w:r>
      <w:proofErr w:type="spellEnd"/>
      <w:r w:rsidRPr="003A495D">
        <w:rPr>
          <w:rFonts w:ascii="Verdana" w:hAnsi="Verdana"/>
        </w:rPr>
        <w:t xml:space="preserve"> </w:t>
      </w:r>
      <w:proofErr w:type="spellStart"/>
      <w:r w:rsidRPr="003A495D">
        <w:rPr>
          <w:rFonts w:ascii="Verdana" w:hAnsi="Verdana"/>
        </w:rPr>
        <w:t>of</w:t>
      </w:r>
      <w:proofErr w:type="spellEnd"/>
      <w:r w:rsidRPr="003A495D">
        <w:rPr>
          <w:rFonts w:ascii="Verdana" w:hAnsi="Verdana"/>
        </w:rPr>
        <w:t xml:space="preserve"> </w:t>
      </w:r>
      <w:proofErr w:type="spellStart"/>
      <w:r w:rsidRPr="003A495D">
        <w:rPr>
          <w:rFonts w:ascii="Verdana" w:hAnsi="Verdana"/>
        </w:rPr>
        <w:t>Professions</w:t>
      </w:r>
      <w:proofErr w:type="spellEnd"/>
      <w:r w:rsidRPr="003A495D">
        <w:rPr>
          <w:rFonts w:ascii="Verdana" w:hAnsi="Verdana"/>
        </w:rPr>
        <w:t xml:space="preserve">: </w:t>
      </w:r>
      <w:proofErr w:type="spellStart"/>
      <w:r w:rsidRPr="003A495D">
        <w:rPr>
          <w:rFonts w:ascii="Verdana" w:hAnsi="Verdana"/>
        </w:rPr>
        <w:t>Evidence</w:t>
      </w:r>
      <w:proofErr w:type="spellEnd"/>
      <w:r w:rsidRPr="003A495D">
        <w:rPr>
          <w:rFonts w:ascii="Verdana" w:hAnsi="Verdana"/>
        </w:rPr>
        <w:t xml:space="preserve"> </w:t>
      </w:r>
      <w:proofErr w:type="spellStart"/>
      <w:r w:rsidRPr="003A495D">
        <w:rPr>
          <w:rFonts w:ascii="Verdana" w:hAnsi="Verdana"/>
        </w:rPr>
        <w:t>from</w:t>
      </w:r>
      <w:proofErr w:type="spellEnd"/>
      <w:r w:rsidRPr="003A495D">
        <w:rPr>
          <w:rFonts w:ascii="Verdana" w:hAnsi="Verdana"/>
        </w:rPr>
        <w:t xml:space="preserve"> </w:t>
      </w:r>
      <w:proofErr w:type="spellStart"/>
      <w:r w:rsidRPr="003A495D">
        <w:rPr>
          <w:rFonts w:ascii="Verdana" w:hAnsi="Verdana"/>
        </w:rPr>
        <w:t>the</w:t>
      </w:r>
      <w:proofErr w:type="spellEnd"/>
      <w:r w:rsidRPr="003A495D">
        <w:rPr>
          <w:rFonts w:ascii="Verdana" w:hAnsi="Verdana"/>
        </w:rPr>
        <w:t xml:space="preserve"> </w:t>
      </w:r>
      <w:proofErr w:type="spellStart"/>
      <w:r w:rsidRPr="003A495D">
        <w:rPr>
          <w:rFonts w:ascii="Verdana" w:hAnsi="Verdana"/>
        </w:rPr>
        <w:t>Emergency</w:t>
      </w:r>
      <w:proofErr w:type="spellEnd"/>
      <w:r w:rsidRPr="003A495D">
        <w:rPr>
          <w:rFonts w:ascii="Verdana" w:hAnsi="Verdana"/>
        </w:rPr>
        <w:t xml:space="preserve"> </w:t>
      </w:r>
      <w:proofErr w:type="spellStart"/>
      <w:r w:rsidRPr="003A495D">
        <w:rPr>
          <w:rFonts w:ascii="Verdana" w:hAnsi="Verdana"/>
        </w:rPr>
        <w:t>Department</w:t>
      </w:r>
      <w:proofErr w:type="spellEnd"/>
      <w:r w:rsidRPr="003A495D">
        <w:rPr>
          <w:rFonts w:ascii="Verdana" w:hAnsi="Verdana"/>
        </w:rPr>
        <w:t xml:space="preserve">" (Chan &amp; Chen) analizó la asignación </w:t>
      </w:r>
      <w:r w:rsidR="00215901" w:rsidRPr="003A495D">
        <w:rPr>
          <w:rFonts w:ascii="Verdana" w:hAnsi="Verdana"/>
        </w:rPr>
        <w:t>cuasiexperimental</w:t>
      </w:r>
      <w:r w:rsidRPr="003A495D">
        <w:rPr>
          <w:rFonts w:ascii="Verdana" w:hAnsi="Verdana"/>
        </w:rPr>
        <w:t xml:space="preserve"> de pacientes en servicios de urgencias. Los resultados muestran que las categorías profesionales no médicas con competencias médicas delegadas utilizan un volumen de recursos significativamente superior y, lo que es más grave, presentan una </w:t>
      </w:r>
      <w:r w:rsidRPr="003A495D">
        <w:rPr>
          <w:rFonts w:ascii="Verdana" w:hAnsi="Verdana"/>
          <w:b/>
          <w:bCs/>
        </w:rPr>
        <w:t>tasa de hospitalización evitable a los 30 días sustancialmente mayor</w:t>
      </w:r>
      <w:r w:rsidRPr="003A495D">
        <w:rPr>
          <w:rFonts w:ascii="Verdana" w:hAnsi="Verdana"/>
        </w:rPr>
        <w:t xml:space="preserve"> que la de los médicos.</w:t>
      </w:r>
    </w:p>
    <w:p w14:paraId="3DD32FC8" w14:textId="38F53A1B" w:rsidR="003A495D" w:rsidRDefault="003A495D" w:rsidP="003A495D">
      <w:pPr>
        <w:jc w:val="both"/>
        <w:rPr>
          <w:rFonts w:ascii="Verdana" w:hAnsi="Verdana"/>
        </w:rPr>
      </w:pPr>
      <w:r w:rsidRPr="003A495D">
        <w:rPr>
          <w:rFonts w:ascii="Verdana" w:hAnsi="Verdana"/>
          <w:b/>
          <w:bCs/>
        </w:rPr>
        <w:t>2. Reingresos y fallos diagnósticos</w:t>
      </w:r>
      <w:r w:rsidR="00BF01E6">
        <w:rPr>
          <w:rFonts w:ascii="Verdana" w:hAnsi="Verdana"/>
          <w:b/>
          <w:bCs/>
        </w:rPr>
        <w:t>.</w:t>
      </w:r>
      <w:r w:rsidRPr="003A495D">
        <w:rPr>
          <w:rFonts w:ascii="Verdana" w:hAnsi="Verdana"/>
        </w:rPr>
        <w:t xml:space="preserve"> La mayor tasa de reingresos tras ser atendido por personal no facultativo evidencia una menor precisión en la toma de decisiones inicial y una incapacidad para gestionar adecuadamente la complejidad. En medicina, el "coste de la incertidumbre" se paga con la seguridad del paciente; la formación médica intensiva y supervisada es el único mecanismo demostrado para mitigar este riesgo.</w:t>
      </w:r>
    </w:p>
    <w:p w14:paraId="791715D7" w14:textId="77777777" w:rsidR="00BF01E6" w:rsidRPr="003A495D" w:rsidRDefault="00BF01E6" w:rsidP="003A495D">
      <w:pPr>
        <w:jc w:val="both"/>
        <w:rPr>
          <w:rFonts w:ascii="Verdana" w:hAnsi="Verdana"/>
        </w:rPr>
      </w:pPr>
    </w:p>
    <w:p w14:paraId="69DCD5E8" w14:textId="2AAD0E11" w:rsidR="003A495D" w:rsidRPr="003A495D" w:rsidRDefault="003A495D" w:rsidP="003A495D">
      <w:pPr>
        <w:jc w:val="both"/>
        <w:rPr>
          <w:rFonts w:ascii="Verdana" w:hAnsi="Verdana"/>
          <w:b/>
          <w:bCs/>
        </w:rPr>
      </w:pPr>
      <w:r w:rsidRPr="003A495D">
        <w:rPr>
          <w:rFonts w:ascii="Verdana" w:hAnsi="Verdana"/>
          <w:b/>
          <w:bCs/>
        </w:rPr>
        <w:t>VI</w:t>
      </w:r>
      <w:r w:rsidR="008742F2">
        <w:rPr>
          <w:rFonts w:ascii="Verdana" w:hAnsi="Verdana"/>
          <w:b/>
          <w:bCs/>
        </w:rPr>
        <w:t>I</w:t>
      </w:r>
      <w:r w:rsidRPr="003A495D">
        <w:rPr>
          <w:rFonts w:ascii="Verdana" w:hAnsi="Verdana"/>
          <w:b/>
          <w:bCs/>
        </w:rPr>
        <w:t>. EL DERECHO DEL CIUDADANO A LA CLARIDAD PROFESIONAL</w:t>
      </w:r>
    </w:p>
    <w:p w14:paraId="580725B5" w14:textId="77777777" w:rsidR="003A495D" w:rsidRPr="003A495D" w:rsidRDefault="003A495D" w:rsidP="003A495D">
      <w:pPr>
        <w:jc w:val="both"/>
        <w:rPr>
          <w:rFonts w:ascii="Verdana" w:hAnsi="Verdana"/>
        </w:rPr>
      </w:pPr>
      <w:r w:rsidRPr="003A495D">
        <w:rPr>
          <w:rFonts w:ascii="Verdana" w:hAnsi="Verdana"/>
        </w:rPr>
        <w:t>El consentimiento informado, pilar fundamental de la Ley 41/2002, se ve gravemente comprometido cuando el paciente no puede distinguir fehacientemente quién le está atendiendo.</w:t>
      </w:r>
    </w:p>
    <w:p w14:paraId="253E7755" w14:textId="05ADD6C4" w:rsidR="003A495D" w:rsidRPr="003A495D" w:rsidRDefault="003A495D" w:rsidP="003A495D">
      <w:pPr>
        <w:jc w:val="both"/>
        <w:rPr>
          <w:rFonts w:ascii="Verdana" w:hAnsi="Verdana"/>
        </w:rPr>
      </w:pPr>
      <w:r w:rsidRPr="003A495D">
        <w:rPr>
          <w:rFonts w:ascii="Verdana" w:hAnsi="Verdana"/>
          <w:b/>
          <w:bCs/>
        </w:rPr>
        <w:t>1. Confusión pública documentada</w:t>
      </w:r>
      <w:r w:rsidR="00BF01E6">
        <w:rPr>
          <w:rFonts w:ascii="Verdana" w:hAnsi="Verdana"/>
          <w:b/>
          <w:bCs/>
        </w:rPr>
        <w:t>.</w:t>
      </w:r>
      <w:r w:rsidRPr="003A495D">
        <w:rPr>
          <w:rFonts w:ascii="Verdana" w:hAnsi="Verdana"/>
        </w:rPr>
        <w:t xml:space="preserve"> El 42% de los profesionales encuestados en el Reino Unido admiten que los pacientes no comprenden su rol ni su nivel de formación. Las asociaciones de pacientes en el NHS han planteado como una preocupación de primer orden la posibilidad de confusión entre un médico y otros roles auxiliares. En España, el uso de uniformidad similar y la ambigüedad en los títulos identificativos pueden inducir a error al ciudadano, que asume que quien le receta o diagnóstica posee la titulación de médico.</w:t>
      </w:r>
    </w:p>
    <w:p w14:paraId="6874C4E7" w14:textId="7914C1D7" w:rsidR="003A495D" w:rsidRDefault="003A495D" w:rsidP="003A495D">
      <w:pPr>
        <w:jc w:val="both"/>
        <w:rPr>
          <w:rFonts w:ascii="Verdana" w:hAnsi="Verdana"/>
        </w:rPr>
      </w:pPr>
      <w:r w:rsidRPr="003A495D">
        <w:rPr>
          <w:rFonts w:ascii="Verdana" w:hAnsi="Verdana"/>
          <w:b/>
          <w:bCs/>
        </w:rPr>
        <w:t>2. Protección del título y transparencia</w:t>
      </w:r>
      <w:r w:rsidR="00BF01E6">
        <w:rPr>
          <w:rFonts w:ascii="Verdana" w:hAnsi="Verdana"/>
          <w:b/>
          <w:bCs/>
        </w:rPr>
        <w:t>.</w:t>
      </w:r>
      <w:r w:rsidRPr="003A495D">
        <w:rPr>
          <w:rFonts w:ascii="Verdana" w:hAnsi="Verdana"/>
        </w:rPr>
        <w:t xml:space="preserve"> La nueva LOPS debe ser contundente en la protección del título y en la identificación segura del personal estatutario, tal como sugiere el APL en su Disposición Adicional Decimocuarta. El ciudadano tiene el derecho irrenunciable a ser informado sobre la categoría profesional exacta de quien le atiende, </w:t>
      </w:r>
      <w:r w:rsidRPr="003A495D">
        <w:rPr>
          <w:rFonts w:ascii="Verdana" w:hAnsi="Verdana"/>
        </w:rPr>
        <w:lastRenderedPageBreak/>
        <w:t>especialmente cuando se trata de actos que comprometen su integridad física.</w:t>
      </w:r>
    </w:p>
    <w:p w14:paraId="1298F525" w14:textId="77777777" w:rsidR="00BF01E6" w:rsidRPr="003A495D" w:rsidRDefault="00BF01E6" w:rsidP="003A495D">
      <w:pPr>
        <w:jc w:val="both"/>
        <w:rPr>
          <w:rFonts w:ascii="Verdana" w:hAnsi="Verdana"/>
        </w:rPr>
      </w:pPr>
    </w:p>
    <w:p w14:paraId="62B2C7A1" w14:textId="4C017412" w:rsidR="003A495D" w:rsidRPr="003A495D" w:rsidRDefault="003A495D" w:rsidP="003A495D">
      <w:pPr>
        <w:jc w:val="both"/>
        <w:rPr>
          <w:rFonts w:ascii="Verdana" w:hAnsi="Verdana"/>
          <w:b/>
          <w:bCs/>
        </w:rPr>
      </w:pPr>
      <w:r w:rsidRPr="003A495D">
        <w:rPr>
          <w:rFonts w:ascii="Verdana" w:hAnsi="Verdana"/>
          <w:b/>
          <w:bCs/>
        </w:rPr>
        <w:t>VII</w:t>
      </w:r>
      <w:r w:rsidR="008742F2">
        <w:rPr>
          <w:rFonts w:ascii="Verdana" w:hAnsi="Verdana"/>
          <w:b/>
          <w:bCs/>
        </w:rPr>
        <w:t>I</w:t>
      </w:r>
      <w:r w:rsidRPr="003A495D">
        <w:rPr>
          <w:rFonts w:ascii="Verdana" w:hAnsi="Verdana"/>
          <w:b/>
          <w:bCs/>
        </w:rPr>
        <w:t>. ANÁLISIS DEL ANTEPROYECTO DEL ESTATUTO MARCO: EL RIESGO DE DISOLUCIÓN CATEGORIAL</w:t>
      </w:r>
    </w:p>
    <w:p w14:paraId="7FA15309" w14:textId="77777777" w:rsidR="003A495D" w:rsidRPr="003A495D" w:rsidRDefault="003A495D" w:rsidP="003A495D">
      <w:pPr>
        <w:jc w:val="both"/>
        <w:rPr>
          <w:rFonts w:ascii="Verdana" w:hAnsi="Verdana"/>
        </w:rPr>
      </w:pPr>
      <w:r w:rsidRPr="003A495D">
        <w:rPr>
          <w:rFonts w:ascii="Verdana" w:hAnsi="Verdana"/>
        </w:rPr>
        <w:t>El texto del APL remitido a las Cortes contiene elementos de alarmante ambigüedad que deben ser corregidos en la reforma de la LOPS:</w:t>
      </w:r>
    </w:p>
    <w:p w14:paraId="6AFB8185" w14:textId="48C22AA8" w:rsidR="003A495D" w:rsidRPr="003A495D" w:rsidRDefault="003A495D" w:rsidP="003A495D">
      <w:pPr>
        <w:jc w:val="both"/>
        <w:rPr>
          <w:rFonts w:ascii="Verdana" w:hAnsi="Verdana"/>
        </w:rPr>
      </w:pPr>
      <w:r w:rsidRPr="003A495D">
        <w:rPr>
          <w:rFonts w:ascii="Verdana" w:hAnsi="Verdana"/>
          <w:b/>
          <w:bCs/>
        </w:rPr>
        <w:t>1. La trampa de los niveles MECU</w:t>
      </w:r>
      <w:r w:rsidR="00BF01E6">
        <w:rPr>
          <w:rFonts w:ascii="Verdana" w:hAnsi="Verdana"/>
          <w:b/>
          <w:bCs/>
        </w:rPr>
        <w:t>.</w:t>
      </w:r>
      <w:r w:rsidRPr="003A495D">
        <w:rPr>
          <w:rFonts w:ascii="Verdana" w:hAnsi="Verdana"/>
        </w:rPr>
        <w:t xml:space="preserve"> Los artículos 6 y 7 del APL clasifican al personal basándose casi exclusivamente en el nivel académico del título exigido (Nivel 6, 7 u 8 del MECU). Esta clasificación es meramente administrativa y no puede utilizarse como base para la homologación de competencias clínicas. Equiparar a un médico (Nivel 7/8, 360 ECTS más especialidad) con otros graduados de 240 ECTS basándose en que ambos poseen un máster</w:t>
      </w:r>
      <w:r w:rsidR="00BF01E6">
        <w:rPr>
          <w:rFonts w:ascii="Verdana" w:hAnsi="Verdana"/>
        </w:rPr>
        <w:t>,</w:t>
      </w:r>
      <w:r w:rsidRPr="003A495D">
        <w:rPr>
          <w:rFonts w:ascii="Verdana" w:hAnsi="Verdana"/>
        </w:rPr>
        <w:t xml:space="preserve"> ignora la disparidad de 10.000 horas de entrenamiento clínico supervisado adicionales que posee el médico.</w:t>
      </w:r>
    </w:p>
    <w:p w14:paraId="4DA4B1E5" w14:textId="74AFA9BA" w:rsidR="003A495D" w:rsidRDefault="003A495D" w:rsidP="003A495D">
      <w:pPr>
        <w:jc w:val="both"/>
        <w:rPr>
          <w:rFonts w:ascii="Verdana" w:hAnsi="Verdana"/>
        </w:rPr>
      </w:pPr>
      <w:r w:rsidRPr="003A495D">
        <w:rPr>
          <w:rFonts w:ascii="Verdana" w:hAnsi="Verdana"/>
          <w:b/>
          <w:bCs/>
        </w:rPr>
        <w:t>2. Facilitación de transferencia de funciones</w:t>
      </w:r>
      <w:r w:rsidR="00BF01E6">
        <w:rPr>
          <w:rFonts w:ascii="Verdana" w:hAnsi="Verdana"/>
          <w:b/>
          <w:bCs/>
        </w:rPr>
        <w:t>.</w:t>
      </w:r>
      <w:r w:rsidRPr="003A495D">
        <w:rPr>
          <w:rFonts w:ascii="Verdana" w:hAnsi="Verdana"/>
        </w:rPr>
        <w:t xml:space="preserve"> La Disposición Adicional Vig</w:t>
      </w:r>
      <w:r w:rsidR="00BF01E6">
        <w:rPr>
          <w:rFonts w:ascii="Verdana" w:hAnsi="Verdana"/>
        </w:rPr>
        <w:t>e</w:t>
      </w:r>
      <w:r w:rsidRPr="003A495D">
        <w:rPr>
          <w:rFonts w:ascii="Verdana" w:hAnsi="Verdana"/>
        </w:rPr>
        <w:t>simoséptima del APL permite la creación de nuevas titulaciones en categorías existentes, lo que podría utilizarse para introducir perfiles que asuman funciones médicas de forma subrepticia sin el debido debate parlamentario sobre su seguridad y eficacia.</w:t>
      </w:r>
    </w:p>
    <w:p w14:paraId="25296382" w14:textId="77777777" w:rsidR="00BF01E6" w:rsidRDefault="00BF01E6" w:rsidP="003A495D">
      <w:pPr>
        <w:jc w:val="both"/>
        <w:rPr>
          <w:rFonts w:ascii="Verdana" w:hAnsi="Verdana"/>
        </w:rPr>
      </w:pPr>
    </w:p>
    <w:p w14:paraId="60167D11" w14:textId="77777777" w:rsidR="00FE1449" w:rsidRPr="003A495D" w:rsidRDefault="00FE1449" w:rsidP="003A495D">
      <w:pPr>
        <w:jc w:val="both"/>
        <w:rPr>
          <w:rFonts w:ascii="Verdana" w:hAnsi="Verdana"/>
        </w:rPr>
      </w:pPr>
    </w:p>
    <w:p w14:paraId="42496B4B" w14:textId="6ECEC4D5" w:rsidR="003A495D" w:rsidRPr="003A495D" w:rsidRDefault="008742F2" w:rsidP="003A495D">
      <w:pPr>
        <w:jc w:val="both"/>
        <w:rPr>
          <w:rFonts w:ascii="Verdana" w:hAnsi="Verdana"/>
          <w:b/>
          <w:bCs/>
        </w:rPr>
      </w:pPr>
      <w:r>
        <w:rPr>
          <w:rFonts w:ascii="Verdana" w:hAnsi="Verdana"/>
          <w:b/>
          <w:bCs/>
        </w:rPr>
        <w:t>IX</w:t>
      </w:r>
      <w:r w:rsidR="003A495D" w:rsidRPr="003A495D">
        <w:rPr>
          <w:rFonts w:ascii="Verdana" w:hAnsi="Verdana"/>
          <w:b/>
          <w:bCs/>
        </w:rPr>
        <w:t>. PROPUESTAS NORMATIVAS CONCRETAS PARA LA REFORMA DE LA LOPS</w:t>
      </w:r>
    </w:p>
    <w:p w14:paraId="15A5F291" w14:textId="45F5AA5F" w:rsidR="003A495D" w:rsidRPr="003A495D" w:rsidRDefault="003A495D" w:rsidP="003A495D">
      <w:pPr>
        <w:jc w:val="both"/>
        <w:rPr>
          <w:rFonts w:ascii="Verdana" w:hAnsi="Verdana"/>
        </w:rPr>
      </w:pPr>
      <w:r w:rsidRPr="003A495D">
        <w:rPr>
          <w:rFonts w:ascii="Verdana" w:hAnsi="Verdana"/>
        </w:rPr>
        <w:t xml:space="preserve">Basado en lo expuesto, se proponen las siguientes modificaciones e inclusiones en el </w:t>
      </w:r>
      <w:r w:rsidR="008742F2">
        <w:rPr>
          <w:rFonts w:ascii="Verdana" w:hAnsi="Verdana"/>
        </w:rPr>
        <w:t xml:space="preserve">eventual </w:t>
      </w:r>
      <w:r w:rsidRPr="003A495D">
        <w:rPr>
          <w:rFonts w:ascii="Verdana" w:hAnsi="Verdana"/>
        </w:rPr>
        <w:t>futuro texto de la LOPS:</w:t>
      </w:r>
    </w:p>
    <w:p w14:paraId="1A5761BF" w14:textId="77777777" w:rsidR="003A495D" w:rsidRPr="003A495D" w:rsidRDefault="003A495D" w:rsidP="003A495D">
      <w:pPr>
        <w:numPr>
          <w:ilvl w:val="0"/>
          <w:numId w:val="1"/>
        </w:numPr>
        <w:jc w:val="both"/>
        <w:rPr>
          <w:rFonts w:ascii="Verdana" w:hAnsi="Verdana"/>
        </w:rPr>
      </w:pPr>
      <w:r w:rsidRPr="003A495D">
        <w:rPr>
          <w:rFonts w:ascii="Verdana" w:hAnsi="Verdana"/>
          <w:b/>
          <w:bCs/>
        </w:rPr>
        <w:t>Delimitación explícita del Acto Médico:</w:t>
      </w:r>
      <w:r w:rsidRPr="003A495D">
        <w:rPr>
          <w:rFonts w:ascii="Verdana" w:hAnsi="Verdana"/>
        </w:rPr>
        <w:t xml:space="preserve"> Definir el acto médico (diagnóstico, pronóstico y decisión terapéutica integral) como potestad exclusiva y excluyente del graduado en Medicina, en salvaguarda de la seguridad del paciente.</w:t>
      </w:r>
    </w:p>
    <w:p w14:paraId="254D914A" w14:textId="347E7C17" w:rsidR="003A495D" w:rsidRPr="003A495D" w:rsidRDefault="003A495D" w:rsidP="003A495D">
      <w:pPr>
        <w:numPr>
          <w:ilvl w:val="0"/>
          <w:numId w:val="1"/>
        </w:numPr>
        <w:jc w:val="both"/>
        <w:rPr>
          <w:rFonts w:ascii="Verdana" w:hAnsi="Verdana"/>
        </w:rPr>
      </w:pPr>
      <w:r w:rsidRPr="003A495D">
        <w:rPr>
          <w:rFonts w:ascii="Verdana" w:hAnsi="Verdana"/>
          <w:b/>
          <w:bCs/>
        </w:rPr>
        <w:t>Liderazgo Clínico Reconocido:</w:t>
      </w:r>
      <w:r w:rsidRPr="003A495D">
        <w:rPr>
          <w:rFonts w:ascii="Verdana" w:hAnsi="Verdana"/>
        </w:rPr>
        <w:t xml:space="preserve"> Inclusión del reconocimiento legal del liderazgo clínico del médico</w:t>
      </w:r>
      <w:r w:rsidR="00BF01E6">
        <w:rPr>
          <w:rFonts w:ascii="Verdana" w:hAnsi="Verdana"/>
        </w:rPr>
        <w:t xml:space="preserve">, en base a su formación diferencial, experiencia clínica y responsabilidad jurídica y no en </w:t>
      </w:r>
      <w:r w:rsidR="002B6A0E">
        <w:rPr>
          <w:rFonts w:ascii="Verdana" w:hAnsi="Verdana"/>
        </w:rPr>
        <w:t xml:space="preserve">base a </w:t>
      </w:r>
      <w:r w:rsidR="00BF01E6">
        <w:rPr>
          <w:rFonts w:ascii="Verdana" w:hAnsi="Verdana"/>
        </w:rPr>
        <w:t>criterios corpo</w:t>
      </w:r>
      <w:r w:rsidR="00F71447">
        <w:rPr>
          <w:rFonts w:ascii="Verdana" w:hAnsi="Verdana"/>
        </w:rPr>
        <w:t>r</w:t>
      </w:r>
      <w:r w:rsidR="00BF01E6">
        <w:rPr>
          <w:rFonts w:ascii="Verdana" w:hAnsi="Verdana"/>
        </w:rPr>
        <w:t>ativistas;</w:t>
      </w:r>
      <w:r w:rsidRPr="003A495D">
        <w:rPr>
          <w:rFonts w:ascii="Verdana" w:hAnsi="Verdana"/>
        </w:rPr>
        <w:t xml:space="preserve"> en la dirección del proceso </w:t>
      </w:r>
      <w:r w:rsidRPr="003A495D">
        <w:rPr>
          <w:rFonts w:ascii="Verdana" w:hAnsi="Verdana"/>
        </w:rPr>
        <w:lastRenderedPageBreak/>
        <w:t>asistencial y la resolución de discrepancias interprofesionales con relevancia clínica.</w:t>
      </w:r>
    </w:p>
    <w:p w14:paraId="2BCB8080" w14:textId="77777777" w:rsidR="003A495D" w:rsidRPr="003A495D" w:rsidRDefault="003A495D" w:rsidP="003A495D">
      <w:pPr>
        <w:numPr>
          <w:ilvl w:val="0"/>
          <w:numId w:val="1"/>
        </w:numPr>
        <w:jc w:val="both"/>
        <w:rPr>
          <w:rFonts w:ascii="Verdana" w:hAnsi="Verdana"/>
        </w:rPr>
      </w:pPr>
      <w:r w:rsidRPr="003A495D">
        <w:rPr>
          <w:rFonts w:ascii="Verdana" w:hAnsi="Verdana"/>
          <w:b/>
          <w:bCs/>
        </w:rPr>
        <w:t>Prohibición de la Sustitución por Motivos Económicos:</w:t>
      </w:r>
      <w:r w:rsidRPr="003A495D">
        <w:rPr>
          <w:rFonts w:ascii="Verdana" w:hAnsi="Verdana"/>
        </w:rPr>
        <w:t xml:space="preserve"> Prohibir explícitamente la sustitución de médicos por otras categorías profesionales cuando la motivación principal sea el ahorro salarial o la gestión de vacantes, dada la evidencia de perjuicio para la seguridad y el coste global del sistema.</w:t>
      </w:r>
    </w:p>
    <w:p w14:paraId="390D8651" w14:textId="77777777" w:rsidR="003A495D" w:rsidRPr="003A495D" w:rsidRDefault="003A495D" w:rsidP="003A495D">
      <w:pPr>
        <w:numPr>
          <w:ilvl w:val="0"/>
          <w:numId w:val="1"/>
        </w:numPr>
        <w:jc w:val="both"/>
        <w:rPr>
          <w:rFonts w:ascii="Verdana" w:hAnsi="Verdana"/>
        </w:rPr>
      </w:pPr>
      <w:r w:rsidRPr="003A495D">
        <w:rPr>
          <w:rFonts w:ascii="Verdana" w:hAnsi="Verdana"/>
          <w:b/>
          <w:bCs/>
        </w:rPr>
        <w:t>Transparencia en la Identificación:</w:t>
      </w:r>
      <w:r w:rsidRPr="003A495D">
        <w:rPr>
          <w:rFonts w:ascii="Verdana" w:hAnsi="Verdana"/>
        </w:rPr>
        <w:t xml:space="preserve"> Obligatoriedad de una identificación clara y visible que especifique la titulación académica y profesional exacta, evitando términos ambiguos que puedan confundir al paciente.</w:t>
      </w:r>
    </w:p>
    <w:p w14:paraId="56E6A6C5" w14:textId="7A69E371" w:rsidR="003A495D" w:rsidRDefault="003A495D" w:rsidP="003A495D">
      <w:pPr>
        <w:numPr>
          <w:ilvl w:val="0"/>
          <w:numId w:val="1"/>
        </w:numPr>
        <w:jc w:val="both"/>
        <w:rPr>
          <w:rFonts w:ascii="Verdana" w:hAnsi="Verdana"/>
        </w:rPr>
      </w:pPr>
      <w:r w:rsidRPr="003A495D">
        <w:rPr>
          <w:rFonts w:ascii="Verdana" w:hAnsi="Verdana"/>
          <w:b/>
          <w:bCs/>
        </w:rPr>
        <w:t>Ratios Vinculantes de Personal:</w:t>
      </w:r>
      <w:r w:rsidRPr="003A495D">
        <w:rPr>
          <w:rFonts w:ascii="Verdana" w:hAnsi="Verdana"/>
        </w:rPr>
        <w:t xml:space="preserve"> Establecer la obligación de fijar </w:t>
      </w:r>
      <w:r w:rsidR="00314283" w:rsidRPr="003A495D">
        <w:rPr>
          <w:rFonts w:ascii="Verdana" w:hAnsi="Verdana"/>
        </w:rPr>
        <w:t>ratios</w:t>
      </w:r>
      <w:r w:rsidR="00314283">
        <w:rPr>
          <w:rFonts w:ascii="Verdana" w:hAnsi="Verdana"/>
        </w:rPr>
        <w:t xml:space="preserve"> </w:t>
      </w:r>
      <w:r w:rsidR="00314283" w:rsidRPr="003A495D">
        <w:rPr>
          <w:rFonts w:ascii="Verdana" w:hAnsi="Verdana"/>
        </w:rPr>
        <w:t>mínimas</w:t>
      </w:r>
      <w:r w:rsidRPr="003A495D">
        <w:rPr>
          <w:rFonts w:ascii="Verdana" w:hAnsi="Verdana"/>
        </w:rPr>
        <w:t xml:space="preserve"> de facultativos por población y por unidad clínica, basados en criterios científicos y no puramente presupuestarios.</w:t>
      </w:r>
    </w:p>
    <w:p w14:paraId="578CA1AE" w14:textId="77777777" w:rsidR="00BF01E6" w:rsidRPr="003A495D" w:rsidRDefault="00BF01E6" w:rsidP="00BF01E6">
      <w:pPr>
        <w:ind w:left="720"/>
        <w:jc w:val="both"/>
        <w:rPr>
          <w:rFonts w:ascii="Verdana" w:hAnsi="Verdana"/>
        </w:rPr>
      </w:pPr>
    </w:p>
    <w:p w14:paraId="6998A922" w14:textId="22406D61" w:rsidR="003A495D" w:rsidRPr="003A495D" w:rsidRDefault="003A495D" w:rsidP="003A495D">
      <w:pPr>
        <w:jc w:val="both"/>
        <w:rPr>
          <w:rFonts w:ascii="Verdana" w:hAnsi="Verdana"/>
          <w:b/>
          <w:bCs/>
        </w:rPr>
      </w:pPr>
      <w:r w:rsidRPr="003A495D">
        <w:rPr>
          <w:rFonts w:ascii="Verdana" w:hAnsi="Verdana"/>
          <w:b/>
          <w:bCs/>
        </w:rPr>
        <w:t>X. ALEGATO FINAL</w:t>
      </w:r>
      <w:r>
        <w:rPr>
          <w:rFonts w:ascii="Verdana" w:hAnsi="Verdana"/>
          <w:b/>
          <w:bCs/>
        </w:rPr>
        <w:t xml:space="preserve"> </w:t>
      </w:r>
    </w:p>
    <w:p w14:paraId="6A7095F6" w14:textId="0539C920" w:rsidR="002B6A0E" w:rsidRDefault="003A495D" w:rsidP="003A495D">
      <w:pPr>
        <w:jc w:val="both"/>
        <w:rPr>
          <w:rFonts w:ascii="Verdana" w:hAnsi="Verdana"/>
        </w:rPr>
      </w:pPr>
      <w:r w:rsidRPr="003A495D">
        <w:rPr>
          <w:rFonts w:ascii="Verdana" w:hAnsi="Verdana"/>
        </w:rPr>
        <w:t>La situación actual del S</w:t>
      </w:r>
      <w:r w:rsidR="00D53028">
        <w:rPr>
          <w:rFonts w:ascii="Verdana" w:hAnsi="Verdana"/>
        </w:rPr>
        <w:t xml:space="preserve">istema </w:t>
      </w:r>
      <w:r w:rsidRPr="003A495D">
        <w:rPr>
          <w:rFonts w:ascii="Verdana" w:hAnsi="Verdana"/>
        </w:rPr>
        <w:t>N</w:t>
      </w:r>
      <w:r w:rsidR="00D53028">
        <w:rPr>
          <w:rFonts w:ascii="Verdana" w:hAnsi="Verdana"/>
        </w:rPr>
        <w:t xml:space="preserve">acional de </w:t>
      </w:r>
      <w:r w:rsidRPr="003A495D">
        <w:rPr>
          <w:rFonts w:ascii="Verdana" w:hAnsi="Verdana"/>
        </w:rPr>
        <w:t>S</w:t>
      </w:r>
      <w:r w:rsidR="00D53028">
        <w:rPr>
          <w:rFonts w:ascii="Verdana" w:hAnsi="Verdana"/>
        </w:rPr>
        <w:t>alud</w:t>
      </w:r>
      <w:r w:rsidRPr="003A495D">
        <w:rPr>
          <w:rFonts w:ascii="Verdana" w:hAnsi="Verdana"/>
        </w:rPr>
        <w:t xml:space="preserve">, marcada por una crisis de retención de talento médico y una creciente </w:t>
      </w:r>
      <w:r w:rsidR="002B6A0E">
        <w:rPr>
          <w:rFonts w:ascii="Verdana" w:hAnsi="Verdana"/>
        </w:rPr>
        <w:t>demanda</w:t>
      </w:r>
      <w:r w:rsidR="00E24D6A">
        <w:rPr>
          <w:rFonts w:ascii="Verdana" w:hAnsi="Verdana"/>
        </w:rPr>
        <w:t xml:space="preserve"> asistencial derivada del envejecimiento poblacional y</w:t>
      </w:r>
      <w:r w:rsidR="002B6A0E">
        <w:rPr>
          <w:rFonts w:ascii="Verdana" w:hAnsi="Verdana"/>
        </w:rPr>
        <w:t xml:space="preserve"> la cronicidad</w:t>
      </w:r>
      <w:r w:rsidRPr="003A495D">
        <w:rPr>
          <w:rFonts w:ascii="Verdana" w:hAnsi="Verdana"/>
        </w:rPr>
        <w:t xml:space="preserve">, exige soluciones </w:t>
      </w:r>
      <w:r w:rsidR="00E24D6A">
        <w:rPr>
          <w:rFonts w:ascii="Verdana" w:hAnsi="Verdana"/>
        </w:rPr>
        <w:t xml:space="preserve">estructurales </w:t>
      </w:r>
      <w:r w:rsidRPr="003A495D">
        <w:rPr>
          <w:rFonts w:ascii="Verdana" w:hAnsi="Verdana"/>
        </w:rPr>
        <w:t xml:space="preserve">específicas para </w:t>
      </w:r>
      <w:r w:rsidR="00BF01E6">
        <w:rPr>
          <w:rFonts w:ascii="Verdana" w:hAnsi="Verdana"/>
        </w:rPr>
        <w:t>el colectivo médico</w:t>
      </w:r>
      <w:r w:rsidR="00F71447">
        <w:rPr>
          <w:rFonts w:ascii="Verdana" w:hAnsi="Verdana"/>
        </w:rPr>
        <w:t xml:space="preserve"> y para el propio sistema</w:t>
      </w:r>
      <w:r w:rsidR="002B6A0E">
        <w:rPr>
          <w:rFonts w:ascii="Verdana" w:hAnsi="Verdana"/>
        </w:rPr>
        <w:t xml:space="preserve"> sanitario</w:t>
      </w:r>
      <w:r w:rsidRPr="003A495D">
        <w:rPr>
          <w:rFonts w:ascii="Verdana" w:hAnsi="Verdana"/>
        </w:rPr>
        <w:t xml:space="preserve">. </w:t>
      </w:r>
    </w:p>
    <w:p w14:paraId="1E7EA89F" w14:textId="77777777" w:rsidR="00E24D6A" w:rsidRDefault="009B000B" w:rsidP="003A495D">
      <w:pPr>
        <w:jc w:val="both"/>
        <w:rPr>
          <w:rFonts w:ascii="Verdana" w:hAnsi="Verdana"/>
        </w:rPr>
      </w:pPr>
      <w:r>
        <w:rPr>
          <w:rFonts w:ascii="Verdana" w:hAnsi="Verdana"/>
        </w:rPr>
        <w:t>La</w:t>
      </w:r>
      <w:r w:rsidR="00E24D6A">
        <w:rPr>
          <w:rFonts w:ascii="Verdana" w:hAnsi="Verdana"/>
        </w:rPr>
        <w:t xml:space="preserve"> respuesta a esta situación</w:t>
      </w:r>
      <w:r>
        <w:rPr>
          <w:rFonts w:ascii="Verdana" w:hAnsi="Verdana"/>
        </w:rPr>
        <w:t xml:space="preserve"> pasa por una reforma estructural del sistema</w:t>
      </w:r>
      <w:r w:rsidR="00E24D6A">
        <w:rPr>
          <w:rFonts w:ascii="Verdana" w:hAnsi="Verdana"/>
        </w:rPr>
        <w:t>, que no puede, en ningún caso, sustentarse en</w:t>
      </w:r>
      <w:r>
        <w:rPr>
          <w:rFonts w:ascii="Verdana" w:hAnsi="Verdana"/>
        </w:rPr>
        <w:t xml:space="preserve"> la fragmentación del acto médico </w:t>
      </w:r>
      <w:r w:rsidR="00E24D6A">
        <w:rPr>
          <w:rFonts w:ascii="Verdana" w:hAnsi="Verdana"/>
        </w:rPr>
        <w:t xml:space="preserve">ni en la alteración de los principios que garantizan la calidad asistencial y la seguridad del paciente. </w:t>
      </w:r>
    </w:p>
    <w:p w14:paraId="75250FCA" w14:textId="04CA9244" w:rsidR="005A6C6A" w:rsidRDefault="002B6A0E" w:rsidP="003A495D">
      <w:pPr>
        <w:jc w:val="both"/>
        <w:rPr>
          <w:rFonts w:ascii="Verdana" w:hAnsi="Verdana"/>
        </w:rPr>
      </w:pPr>
      <w:r>
        <w:rPr>
          <w:rFonts w:ascii="Verdana" w:hAnsi="Verdana"/>
        </w:rPr>
        <w:t>La evidencia disponible</w:t>
      </w:r>
      <w:r w:rsidR="00E24D6A">
        <w:rPr>
          <w:rFonts w:ascii="Verdana" w:hAnsi="Verdana"/>
        </w:rPr>
        <w:t>,</w:t>
      </w:r>
      <w:r>
        <w:rPr>
          <w:rFonts w:ascii="Verdana" w:hAnsi="Verdana"/>
        </w:rPr>
        <w:t xml:space="preserve"> recogida e</w:t>
      </w:r>
      <w:r w:rsidR="000760E8">
        <w:rPr>
          <w:rFonts w:ascii="Verdana" w:hAnsi="Verdana"/>
        </w:rPr>
        <w:t>n revisiones independientes como</w:t>
      </w:r>
      <w:r>
        <w:rPr>
          <w:rFonts w:ascii="Verdana" w:hAnsi="Verdana"/>
        </w:rPr>
        <w:t xml:space="preserve"> “The Leng </w:t>
      </w:r>
      <w:proofErr w:type="spellStart"/>
      <w:r>
        <w:rPr>
          <w:rFonts w:ascii="Verdana" w:hAnsi="Verdana"/>
        </w:rPr>
        <w:t>Review</w:t>
      </w:r>
      <w:proofErr w:type="spellEnd"/>
      <w:r>
        <w:rPr>
          <w:rFonts w:ascii="Verdana" w:hAnsi="Verdana"/>
        </w:rPr>
        <w:t>” (202</w:t>
      </w:r>
      <w:r w:rsidR="000938CC">
        <w:rPr>
          <w:rFonts w:ascii="Verdana" w:hAnsi="Verdana"/>
        </w:rPr>
        <w:t>5</w:t>
      </w:r>
      <w:r>
        <w:rPr>
          <w:rFonts w:ascii="Verdana" w:hAnsi="Verdana"/>
        </w:rPr>
        <w:t>) p</w:t>
      </w:r>
      <w:r w:rsidR="00F43E03">
        <w:rPr>
          <w:rFonts w:ascii="Verdana" w:hAnsi="Verdana"/>
        </w:rPr>
        <w:t>one de manifiesto riesgos estructurales</w:t>
      </w:r>
      <w:r>
        <w:rPr>
          <w:rFonts w:ascii="Verdana" w:hAnsi="Verdana"/>
        </w:rPr>
        <w:t xml:space="preserve"> en términos de seguridad del paciente derivados de la tran</w:t>
      </w:r>
      <w:r w:rsidR="009B000B">
        <w:rPr>
          <w:rFonts w:ascii="Verdana" w:hAnsi="Verdana"/>
        </w:rPr>
        <w:t>s</w:t>
      </w:r>
      <w:r>
        <w:rPr>
          <w:rFonts w:ascii="Verdana" w:hAnsi="Verdana"/>
        </w:rPr>
        <w:t>ferencia de competencias clínicas nucleares</w:t>
      </w:r>
      <w:r w:rsidR="008D5E7D">
        <w:rPr>
          <w:rFonts w:ascii="Verdana" w:hAnsi="Verdana"/>
        </w:rPr>
        <w:t xml:space="preserve"> del médico a otras figuras</w:t>
      </w:r>
      <w:r>
        <w:rPr>
          <w:rFonts w:ascii="Verdana" w:hAnsi="Verdana"/>
        </w:rPr>
        <w:t>. En este contexto, el legislador no puede alegar desconocimiento de dichos riesgos, lo que activa un deber reforzado de diligencia y de aplicación del principio de precaución en el diseño normativo. La omisión de estas cautelas podría situar a la Administración</w:t>
      </w:r>
      <w:r w:rsidR="009B000B">
        <w:rPr>
          <w:rFonts w:ascii="Verdana" w:hAnsi="Verdana"/>
        </w:rPr>
        <w:t xml:space="preserve"> en escenarios de creciente litigiosidad y eventual responsabilidad patrimonial por </w:t>
      </w:r>
      <w:r w:rsidR="000760E8">
        <w:rPr>
          <w:rFonts w:ascii="Verdana" w:hAnsi="Verdana"/>
        </w:rPr>
        <w:t xml:space="preserve">el </w:t>
      </w:r>
      <w:r w:rsidR="009B000B">
        <w:rPr>
          <w:rFonts w:ascii="Verdana" w:hAnsi="Verdana"/>
        </w:rPr>
        <w:t>funcionamiento ina</w:t>
      </w:r>
      <w:r w:rsidR="000760E8">
        <w:rPr>
          <w:rFonts w:ascii="Verdana" w:hAnsi="Verdana"/>
        </w:rPr>
        <w:t xml:space="preserve">decuado </w:t>
      </w:r>
      <w:r w:rsidR="009B000B">
        <w:rPr>
          <w:rFonts w:ascii="Verdana" w:hAnsi="Verdana"/>
        </w:rPr>
        <w:t xml:space="preserve">del sistema sanitario. </w:t>
      </w:r>
    </w:p>
    <w:p w14:paraId="10DE68BB" w14:textId="77777777" w:rsidR="002A716D" w:rsidRDefault="002A716D" w:rsidP="002A716D">
      <w:pPr>
        <w:jc w:val="both"/>
        <w:rPr>
          <w:rFonts w:ascii="Verdana" w:hAnsi="Verdana"/>
        </w:rPr>
      </w:pPr>
      <w:r>
        <w:rPr>
          <w:rFonts w:ascii="Verdana" w:hAnsi="Verdana"/>
        </w:rPr>
        <w:lastRenderedPageBreak/>
        <w:t>Sin una delimitación clara de las funciones y responsabilidades, el sistema sanitario corre el riesgo de evolucionar hacia un modelo en el que la complejidad asistencial no se corresponda con la cualificación ni con la responsabilidad jurídica, comprometiendo así la calidad asistencial y la protección efectiva del derecho a la salud.</w:t>
      </w:r>
    </w:p>
    <w:p w14:paraId="59CCFB45" w14:textId="56A3C0EF" w:rsidR="002A716D" w:rsidRDefault="002A716D" w:rsidP="002A716D">
      <w:pPr>
        <w:jc w:val="both"/>
        <w:rPr>
          <w:rFonts w:ascii="Verdana" w:hAnsi="Verdana"/>
        </w:rPr>
      </w:pPr>
      <w:r>
        <w:rPr>
          <w:rFonts w:ascii="Verdana" w:hAnsi="Verdana"/>
        </w:rPr>
        <w:t>En consecuencia, la modificación de la LOPS no puede sustentarse en una lógica organizativa o de oportunidad, sino que debe justificarse en términos estrictamente técnicos, asistenciales y jurídicos.</w:t>
      </w:r>
    </w:p>
    <w:p w14:paraId="0763A32E" w14:textId="77777777" w:rsidR="007D7C8D" w:rsidRDefault="002A716D" w:rsidP="003A495D">
      <w:pPr>
        <w:jc w:val="both"/>
        <w:rPr>
          <w:rFonts w:ascii="Verdana" w:hAnsi="Verdana"/>
        </w:rPr>
      </w:pPr>
      <w:r>
        <w:rPr>
          <w:rFonts w:ascii="Verdana" w:hAnsi="Verdana"/>
        </w:rPr>
        <w:t>Por otro lado, l</w:t>
      </w:r>
      <w:r w:rsidR="007E2788">
        <w:rPr>
          <w:rFonts w:ascii="Verdana" w:hAnsi="Verdana"/>
        </w:rPr>
        <w:t xml:space="preserve">a crisis de retención de talento médico </w:t>
      </w:r>
      <w:r w:rsidR="007D7C8D">
        <w:rPr>
          <w:rFonts w:ascii="Verdana" w:hAnsi="Verdana"/>
        </w:rPr>
        <w:t>requiere una respuesta específica.</w:t>
      </w:r>
    </w:p>
    <w:p w14:paraId="392B2FA3" w14:textId="1558C942" w:rsidR="007D7C8D" w:rsidRDefault="007D7C8D" w:rsidP="003A495D">
      <w:pPr>
        <w:jc w:val="both"/>
        <w:rPr>
          <w:rFonts w:ascii="Verdana" w:hAnsi="Verdana"/>
        </w:rPr>
      </w:pPr>
      <w:r>
        <w:rPr>
          <w:rFonts w:ascii="Verdana" w:hAnsi="Verdana"/>
        </w:rPr>
        <w:t xml:space="preserve">Desde </w:t>
      </w:r>
      <w:r w:rsidR="009D00EE">
        <w:rPr>
          <w:rFonts w:ascii="Verdana" w:hAnsi="Verdana"/>
        </w:rPr>
        <w:t xml:space="preserve">la entrada en vigor del Estatuto Marco </w:t>
      </w:r>
      <w:r>
        <w:rPr>
          <w:rFonts w:ascii="Verdana" w:hAnsi="Verdana"/>
        </w:rPr>
        <w:t>en</w:t>
      </w:r>
      <w:r w:rsidR="009D00EE">
        <w:rPr>
          <w:rFonts w:ascii="Verdana" w:hAnsi="Verdana"/>
        </w:rPr>
        <w:t xml:space="preserve"> 2003</w:t>
      </w:r>
      <w:r>
        <w:rPr>
          <w:rFonts w:ascii="Verdana" w:hAnsi="Verdana"/>
        </w:rPr>
        <w:t>, las condiciones del ejercicio médico han experimentado un deterioro progresivo. En este contexto resulta necesario avanzar hacia un marco normativo propio que reconozca la singularidad funcional y la responsabilidad del médico dentro del sistema sanitario.</w:t>
      </w:r>
    </w:p>
    <w:p w14:paraId="0C136F95" w14:textId="7D85B432" w:rsidR="002A716D" w:rsidRDefault="007D7C8D" w:rsidP="003A495D">
      <w:pPr>
        <w:jc w:val="both"/>
        <w:rPr>
          <w:rFonts w:ascii="Verdana" w:hAnsi="Verdana"/>
        </w:rPr>
      </w:pPr>
      <w:r>
        <w:rPr>
          <w:rFonts w:ascii="Verdana" w:hAnsi="Verdana"/>
        </w:rPr>
        <w:t>El</w:t>
      </w:r>
      <w:r w:rsidR="009D00EE">
        <w:rPr>
          <w:rFonts w:ascii="Verdana" w:hAnsi="Verdana"/>
        </w:rPr>
        <w:t xml:space="preserve"> </w:t>
      </w:r>
      <w:r>
        <w:rPr>
          <w:rFonts w:ascii="Verdana" w:hAnsi="Verdana"/>
        </w:rPr>
        <w:t>E</w:t>
      </w:r>
      <w:r w:rsidR="009D00EE">
        <w:rPr>
          <w:rFonts w:ascii="Verdana" w:hAnsi="Verdana"/>
        </w:rPr>
        <w:t xml:space="preserve">statuto del Médico </w:t>
      </w:r>
      <w:r>
        <w:rPr>
          <w:rFonts w:ascii="Verdana" w:hAnsi="Verdana"/>
        </w:rPr>
        <w:t xml:space="preserve">que </w:t>
      </w:r>
      <w:r w:rsidR="009D00EE">
        <w:rPr>
          <w:rFonts w:ascii="Verdana" w:hAnsi="Verdana"/>
        </w:rPr>
        <w:t xml:space="preserve">recuperaría la tradición legislativa española, </w:t>
      </w:r>
      <w:r w:rsidR="005B6844">
        <w:rPr>
          <w:rFonts w:ascii="Verdana" w:hAnsi="Verdana"/>
        </w:rPr>
        <w:t>puesto que</w:t>
      </w:r>
      <w:r>
        <w:rPr>
          <w:rFonts w:ascii="Verdana" w:hAnsi="Verdana"/>
        </w:rPr>
        <w:t xml:space="preserve"> los médicos habían tenido históricamente </w:t>
      </w:r>
      <w:r w:rsidR="005B6844">
        <w:rPr>
          <w:rFonts w:ascii="Verdana" w:hAnsi="Verdana"/>
        </w:rPr>
        <w:t>legislación</w:t>
      </w:r>
      <w:r>
        <w:rPr>
          <w:rFonts w:ascii="Verdana" w:hAnsi="Verdana"/>
        </w:rPr>
        <w:t xml:space="preserve"> propia, </w:t>
      </w:r>
      <w:r w:rsidR="009D00EE">
        <w:rPr>
          <w:rFonts w:ascii="Verdana" w:hAnsi="Verdana"/>
        </w:rPr>
        <w:t>permitiría regular de forma singular y detallada las especificidades de la formación sanitaria especializada, la responsabilidad clínica</w:t>
      </w:r>
      <w:r>
        <w:rPr>
          <w:rFonts w:ascii="Verdana" w:hAnsi="Verdana"/>
        </w:rPr>
        <w:t xml:space="preserve"> máxima</w:t>
      </w:r>
      <w:r w:rsidR="005B6844">
        <w:rPr>
          <w:rFonts w:ascii="Verdana" w:hAnsi="Verdana"/>
        </w:rPr>
        <w:t xml:space="preserve"> y</w:t>
      </w:r>
      <w:r w:rsidR="004E3889">
        <w:rPr>
          <w:rFonts w:ascii="Verdana" w:hAnsi="Verdana"/>
        </w:rPr>
        <w:t xml:space="preserve"> </w:t>
      </w:r>
      <w:r w:rsidR="009D00EE">
        <w:rPr>
          <w:rFonts w:ascii="Verdana" w:hAnsi="Verdana"/>
        </w:rPr>
        <w:t xml:space="preserve">el régimen de jornada </w:t>
      </w:r>
      <w:r w:rsidR="005B6844">
        <w:rPr>
          <w:rFonts w:ascii="Verdana" w:hAnsi="Verdana"/>
        </w:rPr>
        <w:t xml:space="preserve">y </w:t>
      </w:r>
      <w:r w:rsidR="009D00EE">
        <w:rPr>
          <w:rFonts w:ascii="Verdana" w:hAnsi="Verdana"/>
        </w:rPr>
        <w:t xml:space="preserve">peligrosidad inherente a la profesión médica. </w:t>
      </w:r>
    </w:p>
    <w:p w14:paraId="610B67BF" w14:textId="147138FB" w:rsidR="002A716D" w:rsidRDefault="009D00EE" w:rsidP="003A495D">
      <w:pPr>
        <w:jc w:val="both"/>
        <w:rPr>
          <w:rFonts w:ascii="Verdana" w:hAnsi="Verdana"/>
        </w:rPr>
      </w:pPr>
      <w:r>
        <w:rPr>
          <w:rFonts w:ascii="Verdana" w:hAnsi="Verdana"/>
        </w:rPr>
        <w:t xml:space="preserve">Sin un estatuto propio, </w:t>
      </w:r>
      <w:r w:rsidR="003A495D" w:rsidRPr="003A495D">
        <w:rPr>
          <w:rFonts w:ascii="Verdana" w:hAnsi="Verdana"/>
        </w:rPr>
        <w:t>la profesión médica seguirá diluida en un marco común insuficiente</w:t>
      </w:r>
      <w:r w:rsidR="00D5384C">
        <w:rPr>
          <w:rFonts w:ascii="Verdana" w:hAnsi="Verdana"/>
        </w:rPr>
        <w:t>,</w:t>
      </w:r>
      <w:r w:rsidR="003A495D" w:rsidRPr="003A495D">
        <w:rPr>
          <w:rFonts w:ascii="Verdana" w:hAnsi="Verdana"/>
        </w:rPr>
        <w:t xml:space="preserve"> que no garantiza la excelencia asistencial ni protege adecuadamente el derecho fundamental a la salud de la ciudadanía española.</w:t>
      </w:r>
    </w:p>
    <w:p w14:paraId="3E5C0313" w14:textId="0A7FB9E6" w:rsidR="003A495D" w:rsidRDefault="003A495D" w:rsidP="003A495D">
      <w:pPr>
        <w:jc w:val="both"/>
        <w:rPr>
          <w:rFonts w:ascii="Verdana" w:hAnsi="Verdana"/>
        </w:rPr>
      </w:pPr>
      <w:r w:rsidRPr="003A495D">
        <w:rPr>
          <w:rFonts w:ascii="Verdana" w:hAnsi="Verdana"/>
        </w:rPr>
        <w:t>En virtud de todo lo expuesto, se solicita que se tengan por presentadas estas alegaciones y se proceda a su incorporación en el expediente de reforma de la Ley de Ordenación de las Profesiones Sanitarias.</w:t>
      </w:r>
    </w:p>
    <w:p w14:paraId="61E44E18" w14:textId="77777777" w:rsidR="00314283" w:rsidRDefault="00314283" w:rsidP="00314283">
      <w:pPr>
        <w:rPr>
          <w:rFonts w:ascii="Verdana" w:hAnsi="Verdana"/>
        </w:rPr>
      </w:pPr>
    </w:p>
    <w:p w14:paraId="594DFBD5" w14:textId="0D68BC72" w:rsidR="00314283" w:rsidRDefault="00314283" w:rsidP="00314283">
      <w:pPr>
        <w:rPr>
          <w:rFonts w:ascii="Verdana" w:hAnsi="Verdana"/>
        </w:rPr>
      </w:pPr>
      <w:r>
        <w:rPr>
          <w:rFonts w:ascii="Verdana" w:hAnsi="Verdana"/>
        </w:rPr>
        <w:t xml:space="preserve">En </w:t>
      </w:r>
      <w:r w:rsidR="005A7E65" w:rsidRPr="003A495D">
        <w:rPr>
          <w:rFonts w:ascii="Verdana" w:hAnsi="Verdana"/>
          <w:highlight w:val="yellow"/>
        </w:rPr>
        <w:t>[</w:t>
      </w:r>
      <w:r w:rsidR="005A7E65">
        <w:rPr>
          <w:rFonts w:ascii="Verdana" w:hAnsi="Verdana"/>
          <w:highlight w:val="yellow"/>
        </w:rPr>
        <w:t>LOCALIDAD</w:t>
      </w:r>
      <w:r w:rsidR="005A7E65" w:rsidRPr="003A495D">
        <w:rPr>
          <w:rFonts w:ascii="Verdana" w:hAnsi="Verdana"/>
          <w:highlight w:val="yellow"/>
        </w:rPr>
        <w:t>]</w:t>
      </w:r>
      <w:r w:rsidR="005A7E65" w:rsidRPr="003A495D">
        <w:rPr>
          <w:rFonts w:ascii="Verdana" w:hAnsi="Verdana"/>
        </w:rPr>
        <w:t>,</w:t>
      </w:r>
      <w:r>
        <w:rPr>
          <w:rFonts w:ascii="Verdana" w:hAnsi="Verdana"/>
        </w:rPr>
        <w:t xml:space="preserve"> a la fecha de la firma.</w:t>
      </w:r>
    </w:p>
    <w:p w14:paraId="18A0B1AB" w14:textId="77777777" w:rsidR="00314283" w:rsidRDefault="00314283" w:rsidP="00314283">
      <w:pPr>
        <w:rPr>
          <w:rFonts w:ascii="Verdana" w:hAnsi="Verdana"/>
        </w:rPr>
      </w:pPr>
    </w:p>
    <w:p w14:paraId="55C945C1" w14:textId="77777777" w:rsidR="00314283" w:rsidRDefault="00314283" w:rsidP="00314283">
      <w:pPr>
        <w:rPr>
          <w:rFonts w:ascii="Verdana" w:hAnsi="Verdana"/>
        </w:rPr>
      </w:pPr>
    </w:p>
    <w:p w14:paraId="13D91B3E" w14:textId="77777777" w:rsidR="005A7E65" w:rsidRDefault="005A7E65" w:rsidP="00314283">
      <w:pPr>
        <w:rPr>
          <w:rFonts w:ascii="Verdana" w:hAnsi="Verdana"/>
        </w:rPr>
        <w:sectPr w:rsidR="005A7E65">
          <w:pgSz w:w="11906" w:h="16838"/>
          <w:pgMar w:top="1417" w:right="1701" w:bottom="1417" w:left="1701" w:header="708" w:footer="708" w:gutter="0"/>
          <w:cols w:space="708"/>
          <w:docGrid w:linePitch="360"/>
        </w:sectPr>
      </w:pPr>
    </w:p>
    <w:p w14:paraId="1CC4A719" w14:textId="061224C7" w:rsidR="00314283" w:rsidRDefault="005A7E65" w:rsidP="00314283">
      <w:pPr>
        <w:rPr>
          <w:rFonts w:ascii="Verdana" w:hAnsi="Verdana"/>
        </w:rPr>
      </w:pPr>
      <w:r w:rsidRPr="003A495D">
        <w:rPr>
          <w:rFonts w:ascii="Verdana" w:hAnsi="Verdana"/>
          <w:highlight w:val="yellow"/>
        </w:rPr>
        <w:t>[NOMBRE Y APELLIDOS]</w:t>
      </w:r>
    </w:p>
    <w:p w14:paraId="32F17FF5" w14:textId="77777777" w:rsidR="00314283" w:rsidRDefault="00314283" w:rsidP="00314283">
      <w:pPr>
        <w:rPr>
          <w:rFonts w:ascii="Verdana" w:hAnsi="Verdana"/>
        </w:rPr>
      </w:pPr>
    </w:p>
    <w:p w14:paraId="0AF6E85A" w14:textId="77777777" w:rsidR="005A7E65" w:rsidRDefault="005A7E65" w:rsidP="003A495D">
      <w:pPr>
        <w:jc w:val="both"/>
        <w:rPr>
          <w:rFonts w:ascii="Verdana" w:hAnsi="Verdana"/>
          <w:noProof/>
        </w:rPr>
        <w:sectPr w:rsidR="005A7E65" w:rsidSect="005A7E65">
          <w:type w:val="continuous"/>
          <w:pgSz w:w="11906" w:h="16838"/>
          <w:pgMar w:top="1417" w:right="1701" w:bottom="1417" w:left="1701" w:header="708" w:footer="708" w:gutter="0"/>
          <w:cols w:space="708"/>
          <w:docGrid w:linePitch="360"/>
        </w:sectPr>
      </w:pPr>
    </w:p>
    <w:p w14:paraId="64F7F89E" w14:textId="3EFBC292" w:rsidR="003A495D" w:rsidRPr="003A495D" w:rsidRDefault="00000000" w:rsidP="003A495D">
      <w:pPr>
        <w:jc w:val="both"/>
        <w:rPr>
          <w:rFonts w:ascii="Verdana" w:hAnsi="Verdana"/>
        </w:rPr>
      </w:pPr>
      <w:r>
        <w:rPr>
          <w:rFonts w:ascii="Verdana" w:hAnsi="Verdana"/>
          <w:noProof/>
        </w:rPr>
        <w:lastRenderedPageBreak/>
        <w:pict w14:anchorId="61F346B6">
          <v:rect id="_x0000_i1025" alt="" style="width:441.9pt;height:.05pt;mso-width-percent:0;mso-height-percent:0;mso-width-percent:0;mso-height-percent:0" o:hralign="center" o:hrstd="t" o:hr="t" fillcolor="#a0a0a0" stroked="f"/>
        </w:pict>
      </w:r>
    </w:p>
    <w:p w14:paraId="1809AEAD" w14:textId="704EA3E1" w:rsidR="003A495D" w:rsidRPr="003A495D" w:rsidRDefault="003A495D" w:rsidP="003A495D">
      <w:pPr>
        <w:jc w:val="both"/>
        <w:rPr>
          <w:rFonts w:ascii="Verdana" w:hAnsi="Verdana"/>
          <w:b/>
          <w:bCs/>
        </w:rPr>
      </w:pPr>
      <w:r w:rsidRPr="003A495D">
        <w:rPr>
          <w:rFonts w:ascii="Verdana" w:hAnsi="Verdana"/>
          <w:b/>
          <w:bCs/>
        </w:rPr>
        <w:t xml:space="preserve">BIBLIOGRAFÍA </w:t>
      </w:r>
      <w:r>
        <w:rPr>
          <w:rFonts w:ascii="Verdana" w:hAnsi="Verdana"/>
          <w:b/>
          <w:bCs/>
        </w:rPr>
        <w:t xml:space="preserve"> </w:t>
      </w:r>
    </w:p>
    <w:p w14:paraId="467EDE31" w14:textId="77777777" w:rsidR="003A495D" w:rsidRPr="003A495D" w:rsidRDefault="003A495D" w:rsidP="003A495D">
      <w:pPr>
        <w:numPr>
          <w:ilvl w:val="0"/>
          <w:numId w:val="2"/>
        </w:numPr>
        <w:jc w:val="both"/>
        <w:rPr>
          <w:rFonts w:ascii="Verdana" w:hAnsi="Verdana"/>
          <w:lang w:val="en-US"/>
        </w:rPr>
      </w:pPr>
      <w:r w:rsidRPr="003A495D">
        <w:rPr>
          <w:rFonts w:ascii="Verdana" w:hAnsi="Verdana"/>
          <w:lang w:val="en-US"/>
        </w:rPr>
        <w:t>Palmer W, Julian S, Vaughan L. Independent report on the regulation of advanced practice in nursing and midwifery. London: Nuffield Trust; 2023.</w:t>
      </w:r>
    </w:p>
    <w:p w14:paraId="0C1ED240" w14:textId="77777777" w:rsidR="003A495D" w:rsidRPr="003A495D" w:rsidRDefault="003A495D" w:rsidP="003A495D">
      <w:pPr>
        <w:numPr>
          <w:ilvl w:val="0"/>
          <w:numId w:val="2"/>
        </w:numPr>
        <w:jc w:val="both"/>
        <w:rPr>
          <w:rFonts w:ascii="Verdana" w:hAnsi="Verdana"/>
        </w:rPr>
      </w:pPr>
      <w:r w:rsidRPr="003A495D">
        <w:rPr>
          <w:rFonts w:ascii="Verdana" w:hAnsi="Verdana"/>
          <w:lang w:val="en-US"/>
        </w:rPr>
        <w:t xml:space="preserve">Leng G. The Leng review: an independent review into physician associate and </w:t>
      </w:r>
      <w:proofErr w:type="spellStart"/>
      <w:r w:rsidRPr="003A495D">
        <w:rPr>
          <w:rFonts w:ascii="Verdana" w:hAnsi="Verdana"/>
          <w:lang w:val="en-US"/>
        </w:rPr>
        <w:t>anaesthesia</w:t>
      </w:r>
      <w:proofErr w:type="spellEnd"/>
      <w:r w:rsidRPr="003A495D">
        <w:rPr>
          <w:rFonts w:ascii="Verdana" w:hAnsi="Verdana"/>
          <w:lang w:val="en-US"/>
        </w:rPr>
        <w:t xml:space="preserve"> associate professions. </w:t>
      </w:r>
      <w:r w:rsidRPr="003A495D">
        <w:rPr>
          <w:rFonts w:ascii="Verdana" w:hAnsi="Verdana"/>
        </w:rPr>
        <w:t xml:space="preserve">London: </w:t>
      </w:r>
      <w:proofErr w:type="spellStart"/>
      <w:r w:rsidRPr="003A495D">
        <w:rPr>
          <w:rFonts w:ascii="Verdana" w:hAnsi="Verdana"/>
        </w:rPr>
        <w:t>Department</w:t>
      </w:r>
      <w:proofErr w:type="spellEnd"/>
      <w:r w:rsidRPr="003A495D">
        <w:rPr>
          <w:rFonts w:ascii="Verdana" w:hAnsi="Verdana"/>
        </w:rPr>
        <w:t xml:space="preserve"> </w:t>
      </w:r>
      <w:proofErr w:type="spellStart"/>
      <w:r w:rsidRPr="003A495D">
        <w:rPr>
          <w:rFonts w:ascii="Verdana" w:hAnsi="Verdana"/>
        </w:rPr>
        <w:t>of</w:t>
      </w:r>
      <w:proofErr w:type="spellEnd"/>
      <w:r w:rsidRPr="003A495D">
        <w:rPr>
          <w:rFonts w:ascii="Verdana" w:hAnsi="Verdana"/>
        </w:rPr>
        <w:t xml:space="preserve"> Health &amp; Social Care; 2025.</w:t>
      </w:r>
    </w:p>
    <w:p w14:paraId="15748990" w14:textId="77777777" w:rsidR="003A495D" w:rsidRPr="003A495D" w:rsidRDefault="003A495D" w:rsidP="003A495D">
      <w:pPr>
        <w:numPr>
          <w:ilvl w:val="0"/>
          <w:numId w:val="2"/>
        </w:numPr>
        <w:jc w:val="both"/>
        <w:rPr>
          <w:rFonts w:ascii="Verdana" w:hAnsi="Verdana"/>
        </w:rPr>
      </w:pPr>
      <w:r w:rsidRPr="003A495D">
        <w:rPr>
          <w:rFonts w:ascii="Verdana" w:hAnsi="Verdana"/>
          <w:lang w:val="en-US"/>
        </w:rPr>
        <w:t xml:space="preserve">Maier CB, Aiken LH, Busse R. Nurses in advanced roles in primary care: Policy levers for implementation. </w:t>
      </w:r>
      <w:proofErr w:type="spellStart"/>
      <w:r w:rsidRPr="003A495D">
        <w:rPr>
          <w:rFonts w:ascii="Verdana" w:hAnsi="Verdana"/>
        </w:rPr>
        <w:t>OECD</w:t>
      </w:r>
      <w:proofErr w:type="spellEnd"/>
      <w:r w:rsidRPr="003A495D">
        <w:rPr>
          <w:rFonts w:ascii="Verdana" w:hAnsi="Verdana"/>
        </w:rPr>
        <w:t xml:space="preserve"> Health Working </w:t>
      </w:r>
      <w:proofErr w:type="spellStart"/>
      <w:r w:rsidRPr="003A495D">
        <w:rPr>
          <w:rFonts w:ascii="Verdana" w:hAnsi="Verdana"/>
        </w:rPr>
        <w:t>Papers</w:t>
      </w:r>
      <w:proofErr w:type="spellEnd"/>
      <w:r w:rsidRPr="003A495D">
        <w:rPr>
          <w:rFonts w:ascii="Verdana" w:hAnsi="Verdana"/>
        </w:rPr>
        <w:t>, No. 98. Paris: OECD Publishing; 2017.</w:t>
      </w:r>
    </w:p>
    <w:p w14:paraId="32CE2883" w14:textId="77777777" w:rsidR="003A495D" w:rsidRPr="003A495D" w:rsidRDefault="003A495D" w:rsidP="003A495D">
      <w:pPr>
        <w:numPr>
          <w:ilvl w:val="0"/>
          <w:numId w:val="2"/>
        </w:numPr>
        <w:jc w:val="both"/>
        <w:rPr>
          <w:rFonts w:ascii="Verdana" w:hAnsi="Verdana"/>
          <w:lang w:val="en-US"/>
        </w:rPr>
      </w:pPr>
      <w:r w:rsidRPr="003A495D">
        <w:rPr>
          <w:rFonts w:ascii="Verdana" w:hAnsi="Verdana"/>
          <w:lang w:val="en-US"/>
        </w:rPr>
        <w:t>Chan DC Jr, Chen Y. The Productivity of Professions: Evidence from the Emergency Department. NBER Working Paper 30608. Cambridge, MA: National Bureau of Economic Research; 2022 (Revised 2025).</w:t>
      </w:r>
    </w:p>
    <w:p w14:paraId="29F50335" w14:textId="77777777" w:rsidR="003A495D" w:rsidRPr="003A495D" w:rsidRDefault="003A495D" w:rsidP="003A495D">
      <w:pPr>
        <w:numPr>
          <w:ilvl w:val="0"/>
          <w:numId w:val="2"/>
        </w:numPr>
        <w:jc w:val="both"/>
        <w:rPr>
          <w:rFonts w:ascii="Verdana" w:hAnsi="Verdana"/>
        </w:rPr>
      </w:pPr>
      <w:r w:rsidRPr="003A495D">
        <w:rPr>
          <w:rFonts w:ascii="Verdana" w:hAnsi="Verdana"/>
          <w:lang w:val="en-US"/>
        </w:rPr>
        <w:t xml:space="preserve">Htay M, Whitehead D. The effectiveness of the role of advanced nurse practitioners compared to physician-led or usual care: A systematic review. </w:t>
      </w:r>
      <w:proofErr w:type="spellStart"/>
      <w:r w:rsidRPr="003A495D">
        <w:rPr>
          <w:rFonts w:ascii="Verdana" w:hAnsi="Verdana"/>
        </w:rPr>
        <w:t>Int</w:t>
      </w:r>
      <w:proofErr w:type="spellEnd"/>
      <w:r w:rsidRPr="003A495D">
        <w:rPr>
          <w:rFonts w:ascii="Verdana" w:hAnsi="Verdana"/>
        </w:rPr>
        <w:t xml:space="preserve"> J Nurs </w:t>
      </w:r>
      <w:proofErr w:type="spellStart"/>
      <w:r w:rsidRPr="003A495D">
        <w:rPr>
          <w:rFonts w:ascii="Verdana" w:hAnsi="Verdana"/>
        </w:rPr>
        <w:t>Stud</w:t>
      </w:r>
      <w:proofErr w:type="spellEnd"/>
      <w:r w:rsidRPr="003A495D">
        <w:rPr>
          <w:rFonts w:ascii="Verdana" w:hAnsi="Verdana"/>
        </w:rPr>
        <w:t xml:space="preserve"> Adv. 2021;3:100034.</w:t>
      </w:r>
    </w:p>
    <w:p w14:paraId="3788C506" w14:textId="77777777" w:rsidR="003A495D" w:rsidRPr="003A495D" w:rsidRDefault="003A495D" w:rsidP="003A495D">
      <w:pPr>
        <w:numPr>
          <w:ilvl w:val="0"/>
          <w:numId w:val="2"/>
        </w:numPr>
        <w:jc w:val="both"/>
        <w:rPr>
          <w:rFonts w:ascii="Verdana" w:hAnsi="Verdana"/>
        </w:rPr>
      </w:pPr>
      <w:r w:rsidRPr="003A495D">
        <w:rPr>
          <w:rFonts w:ascii="Verdana" w:hAnsi="Verdana"/>
          <w:lang w:val="en-US"/>
        </w:rPr>
        <w:t xml:space="preserve">Timmermans MJC, van den Brink GT, van </w:t>
      </w:r>
      <w:proofErr w:type="spellStart"/>
      <w:r w:rsidRPr="003A495D">
        <w:rPr>
          <w:rFonts w:ascii="Verdana" w:hAnsi="Verdana"/>
          <w:lang w:val="en-US"/>
        </w:rPr>
        <w:t>Vught</w:t>
      </w:r>
      <w:proofErr w:type="spellEnd"/>
      <w:r w:rsidRPr="003A495D">
        <w:rPr>
          <w:rFonts w:ascii="Verdana" w:hAnsi="Verdana"/>
          <w:lang w:val="en-US"/>
        </w:rPr>
        <w:t xml:space="preserve"> AJAH, et al. The involvement of physician assistants in inpatient care in hospitals in the Netherlands: a cost-effectiveness analysis. </w:t>
      </w:r>
      <w:r w:rsidRPr="003A495D">
        <w:rPr>
          <w:rFonts w:ascii="Verdana" w:hAnsi="Verdana"/>
        </w:rPr>
        <w:t>BMJ Open. 2017;7(7):e016405.</w:t>
      </w:r>
    </w:p>
    <w:p w14:paraId="14FB3692" w14:textId="77777777" w:rsidR="003A495D" w:rsidRPr="003A495D" w:rsidRDefault="003A495D" w:rsidP="003A495D">
      <w:pPr>
        <w:numPr>
          <w:ilvl w:val="0"/>
          <w:numId w:val="2"/>
        </w:numPr>
        <w:jc w:val="both"/>
        <w:rPr>
          <w:rFonts w:ascii="Verdana" w:hAnsi="Verdana"/>
        </w:rPr>
      </w:pPr>
      <w:r w:rsidRPr="003A495D">
        <w:rPr>
          <w:rFonts w:ascii="Verdana" w:hAnsi="Verdana"/>
        </w:rPr>
        <w:t>Ministerio de Sanidad. Anteproyecto de Ley del Estatuto Marco del personal estatutario de los servicios de salud (08/01/2026). Madrid: Ministerio de Sanidad; 2026.</w:t>
      </w:r>
    </w:p>
    <w:p w14:paraId="04694C25" w14:textId="77777777" w:rsidR="003A495D" w:rsidRPr="003A495D" w:rsidRDefault="003A495D" w:rsidP="003A495D">
      <w:pPr>
        <w:numPr>
          <w:ilvl w:val="0"/>
          <w:numId w:val="2"/>
        </w:numPr>
        <w:jc w:val="both"/>
        <w:rPr>
          <w:rFonts w:ascii="Verdana" w:hAnsi="Verdana"/>
        </w:rPr>
      </w:pPr>
      <w:r w:rsidRPr="003A495D">
        <w:rPr>
          <w:rFonts w:ascii="Verdana" w:hAnsi="Verdana"/>
        </w:rPr>
        <w:t>APEMYF. Propuestas de APEMYF para el redactado del futuro estatuto médico. Barcelona: Agrupación Profesional Por un Estatuto Médico y Facultativo; 2025.</w:t>
      </w:r>
    </w:p>
    <w:p w14:paraId="0D462120" w14:textId="77777777" w:rsidR="003A495D" w:rsidRPr="000C0A0C" w:rsidRDefault="003A495D" w:rsidP="003A495D">
      <w:pPr>
        <w:numPr>
          <w:ilvl w:val="0"/>
          <w:numId w:val="2"/>
        </w:numPr>
        <w:jc w:val="both"/>
        <w:rPr>
          <w:rFonts w:ascii="Verdana" w:hAnsi="Verdana"/>
          <w:lang w:val="en-US"/>
        </w:rPr>
      </w:pPr>
      <w:r w:rsidRPr="003A495D">
        <w:rPr>
          <w:rFonts w:ascii="Verdana" w:hAnsi="Verdana"/>
          <w:lang w:val="pt-PT"/>
        </w:rPr>
        <w:t xml:space="preserve">Martinez-Gonzalez NA, Djalali S, Tandjung R, et al. </w:t>
      </w:r>
      <w:r w:rsidRPr="003A495D">
        <w:rPr>
          <w:rFonts w:ascii="Verdana" w:hAnsi="Verdana"/>
          <w:lang w:val="en-US"/>
        </w:rPr>
        <w:t xml:space="preserve">Substitution of physicians by nurses in primary care: a systematic review and meta-analysis. </w:t>
      </w:r>
      <w:r w:rsidRPr="000C0A0C">
        <w:rPr>
          <w:rFonts w:ascii="Verdana" w:hAnsi="Verdana"/>
          <w:lang w:val="en-US"/>
        </w:rPr>
        <w:t>BMC Health Serv Res. 2014;14:214.</w:t>
      </w:r>
    </w:p>
    <w:p w14:paraId="56717D86" w14:textId="77777777" w:rsidR="003A495D" w:rsidRPr="003A495D" w:rsidRDefault="003A495D" w:rsidP="003A495D">
      <w:pPr>
        <w:numPr>
          <w:ilvl w:val="0"/>
          <w:numId w:val="2"/>
        </w:numPr>
        <w:jc w:val="both"/>
        <w:rPr>
          <w:rFonts w:ascii="Verdana" w:hAnsi="Verdana"/>
        </w:rPr>
      </w:pPr>
      <w:r w:rsidRPr="003A495D">
        <w:rPr>
          <w:rFonts w:ascii="Verdana" w:hAnsi="Verdana"/>
          <w:lang w:val="en-US"/>
        </w:rPr>
        <w:t xml:space="preserve">Council for Healthcare Regulatory Excellence (CHRE). Advanced Practice: Report to the four UK health departments. </w:t>
      </w:r>
      <w:r w:rsidRPr="003A495D">
        <w:rPr>
          <w:rFonts w:ascii="Verdana" w:hAnsi="Verdana"/>
        </w:rPr>
        <w:t>London: CHRE; 2009.</w:t>
      </w:r>
    </w:p>
    <w:p w14:paraId="5AE960A9" w14:textId="77777777" w:rsidR="003A495D" w:rsidRPr="00E53DDF" w:rsidRDefault="003A495D" w:rsidP="003A495D">
      <w:pPr>
        <w:numPr>
          <w:ilvl w:val="0"/>
          <w:numId w:val="2"/>
        </w:numPr>
        <w:jc w:val="both"/>
        <w:rPr>
          <w:rFonts w:ascii="Verdana" w:hAnsi="Verdana"/>
          <w:lang w:val="en-US"/>
        </w:rPr>
      </w:pPr>
      <w:r w:rsidRPr="000C0A0C">
        <w:rPr>
          <w:rFonts w:ascii="Verdana" w:hAnsi="Verdana"/>
        </w:rPr>
        <w:lastRenderedPageBreak/>
        <w:t xml:space="preserve">Romero-Collado A, Homs-Romero E, Zabaleta-del-Olmo E, et al. </w:t>
      </w:r>
      <w:r w:rsidRPr="003A495D">
        <w:rPr>
          <w:rFonts w:ascii="Verdana" w:hAnsi="Verdana"/>
          <w:lang w:val="en-US"/>
        </w:rPr>
        <w:t xml:space="preserve">Nurse prescribing in primary care in Spain: legal framework, historical characteristics and relationship to perceived professional identity. </w:t>
      </w:r>
      <w:r w:rsidRPr="00E53DDF">
        <w:rPr>
          <w:rFonts w:ascii="Verdana" w:hAnsi="Verdana"/>
          <w:lang w:val="en-US"/>
        </w:rPr>
        <w:t>J Nurs Manag. 2014;22(3):394-404.</w:t>
      </w:r>
    </w:p>
    <w:p w14:paraId="2514AFFA" w14:textId="1E5BBC1E" w:rsidR="000134CA" w:rsidRPr="00E53DDF" w:rsidRDefault="000134CA" w:rsidP="003A495D">
      <w:pPr>
        <w:jc w:val="both"/>
        <w:rPr>
          <w:rFonts w:ascii="Verdana" w:hAnsi="Verdana"/>
          <w:lang w:val="en-US"/>
        </w:rPr>
      </w:pPr>
    </w:p>
    <w:p w14:paraId="7B5CFDAF" w14:textId="77777777" w:rsidR="00314283" w:rsidRPr="00E53DDF" w:rsidRDefault="00314283" w:rsidP="003A495D">
      <w:pPr>
        <w:jc w:val="both"/>
        <w:rPr>
          <w:rFonts w:ascii="Verdana" w:hAnsi="Verdana"/>
          <w:lang w:val="en-US"/>
        </w:rPr>
      </w:pPr>
    </w:p>
    <w:sectPr w:rsidR="00314283" w:rsidRPr="00E53DDF" w:rsidSect="00314283">
      <w:type w:val="continuous"/>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012AA7"/>
    <w:multiLevelType w:val="multilevel"/>
    <w:tmpl w:val="0A887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E3429D3"/>
    <w:multiLevelType w:val="multilevel"/>
    <w:tmpl w:val="6A00F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57006633">
    <w:abstractNumId w:val="1"/>
  </w:num>
  <w:num w:numId="2" w16cid:durableId="549269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758"/>
    <w:rsid w:val="000134CA"/>
    <w:rsid w:val="00016AA1"/>
    <w:rsid w:val="0005482A"/>
    <w:rsid w:val="000760E8"/>
    <w:rsid w:val="000830D6"/>
    <w:rsid w:val="000844DB"/>
    <w:rsid w:val="000938CC"/>
    <w:rsid w:val="000A4433"/>
    <w:rsid w:val="000C0A0C"/>
    <w:rsid w:val="000C3D20"/>
    <w:rsid w:val="000E4FE0"/>
    <w:rsid w:val="000F365D"/>
    <w:rsid w:val="00141675"/>
    <w:rsid w:val="00175517"/>
    <w:rsid w:val="001F0CFC"/>
    <w:rsid w:val="00206F54"/>
    <w:rsid w:val="00215901"/>
    <w:rsid w:val="002240C9"/>
    <w:rsid w:val="002339BD"/>
    <w:rsid w:val="00290BA8"/>
    <w:rsid w:val="002A716D"/>
    <w:rsid w:val="002A72DB"/>
    <w:rsid w:val="002B6A0E"/>
    <w:rsid w:val="002F1AE7"/>
    <w:rsid w:val="002F57B0"/>
    <w:rsid w:val="00311CE5"/>
    <w:rsid w:val="00314283"/>
    <w:rsid w:val="003426A3"/>
    <w:rsid w:val="00346CAB"/>
    <w:rsid w:val="00351712"/>
    <w:rsid w:val="0038576C"/>
    <w:rsid w:val="003A2FBC"/>
    <w:rsid w:val="003A495D"/>
    <w:rsid w:val="0041659E"/>
    <w:rsid w:val="00417988"/>
    <w:rsid w:val="00427655"/>
    <w:rsid w:val="00443835"/>
    <w:rsid w:val="0045752A"/>
    <w:rsid w:val="00466FAF"/>
    <w:rsid w:val="004B6756"/>
    <w:rsid w:val="004E3889"/>
    <w:rsid w:val="00513A9A"/>
    <w:rsid w:val="0052602F"/>
    <w:rsid w:val="00540EA2"/>
    <w:rsid w:val="00592183"/>
    <w:rsid w:val="005A6C6A"/>
    <w:rsid w:val="005A7E65"/>
    <w:rsid w:val="005B6844"/>
    <w:rsid w:val="00625771"/>
    <w:rsid w:val="00632807"/>
    <w:rsid w:val="006636B9"/>
    <w:rsid w:val="00667BB8"/>
    <w:rsid w:val="006769D6"/>
    <w:rsid w:val="006C466E"/>
    <w:rsid w:val="00726D7E"/>
    <w:rsid w:val="00730A54"/>
    <w:rsid w:val="00744C3D"/>
    <w:rsid w:val="007504D0"/>
    <w:rsid w:val="00766C1A"/>
    <w:rsid w:val="00771954"/>
    <w:rsid w:val="00771C62"/>
    <w:rsid w:val="00785FF5"/>
    <w:rsid w:val="007C7055"/>
    <w:rsid w:val="007D7C8D"/>
    <w:rsid w:val="007E2788"/>
    <w:rsid w:val="007E5341"/>
    <w:rsid w:val="00854CA2"/>
    <w:rsid w:val="00857DB3"/>
    <w:rsid w:val="00867336"/>
    <w:rsid w:val="008742F2"/>
    <w:rsid w:val="00895DEC"/>
    <w:rsid w:val="008B0E1B"/>
    <w:rsid w:val="008B1EFA"/>
    <w:rsid w:val="008D5E7D"/>
    <w:rsid w:val="0091156E"/>
    <w:rsid w:val="00964A62"/>
    <w:rsid w:val="009662E9"/>
    <w:rsid w:val="00972276"/>
    <w:rsid w:val="009A2ED0"/>
    <w:rsid w:val="009A34C1"/>
    <w:rsid w:val="009A5DC9"/>
    <w:rsid w:val="009B000B"/>
    <w:rsid w:val="009B08B0"/>
    <w:rsid w:val="009D00EE"/>
    <w:rsid w:val="00A03503"/>
    <w:rsid w:val="00A53E10"/>
    <w:rsid w:val="00A71EBA"/>
    <w:rsid w:val="00A80E90"/>
    <w:rsid w:val="00AA59C7"/>
    <w:rsid w:val="00AE70F5"/>
    <w:rsid w:val="00AF6758"/>
    <w:rsid w:val="00B05C63"/>
    <w:rsid w:val="00B53C3D"/>
    <w:rsid w:val="00B8342B"/>
    <w:rsid w:val="00B978FE"/>
    <w:rsid w:val="00BF01E6"/>
    <w:rsid w:val="00BF7291"/>
    <w:rsid w:val="00C07D1C"/>
    <w:rsid w:val="00C12FF3"/>
    <w:rsid w:val="00C809F7"/>
    <w:rsid w:val="00C975E6"/>
    <w:rsid w:val="00CC3BCE"/>
    <w:rsid w:val="00CC5F9A"/>
    <w:rsid w:val="00D164E4"/>
    <w:rsid w:val="00D167C6"/>
    <w:rsid w:val="00D22010"/>
    <w:rsid w:val="00D3016F"/>
    <w:rsid w:val="00D33754"/>
    <w:rsid w:val="00D53028"/>
    <w:rsid w:val="00D5384C"/>
    <w:rsid w:val="00D620AB"/>
    <w:rsid w:val="00DC4407"/>
    <w:rsid w:val="00DD4454"/>
    <w:rsid w:val="00E11E89"/>
    <w:rsid w:val="00E24D6A"/>
    <w:rsid w:val="00E53DDF"/>
    <w:rsid w:val="00E71891"/>
    <w:rsid w:val="00E91AE8"/>
    <w:rsid w:val="00EF4937"/>
    <w:rsid w:val="00EF5097"/>
    <w:rsid w:val="00F00EF1"/>
    <w:rsid w:val="00F37163"/>
    <w:rsid w:val="00F43E03"/>
    <w:rsid w:val="00F71447"/>
    <w:rsid w:val="00FA2F04"/>
    <w:rsid w:val="00FE1449"/>
    <w:rsid w:val="00FE3F9D"/>
    <w:rsid w:val="00FF4A0D"/>
    <w:rsid w:val="4D09471A"/>
    <w:rsid w:val="615F05DD"/>
    <w:rsid w:val="795889A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A948C"/>
  <w15:chartTrackingRefBased/>
  <w15:docId w15:val="{4464B614-73B9-4B2A-B78C-F5AC23761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F67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F67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F675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F675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F675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F675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F675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F675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F675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F675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F675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F675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F675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F675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F675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F675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F675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F6758"/>
    <w:rPr>
      <w:rFonts w:eastAsiaTheme="majorEastAsia" w:cstheme="majorBidi"/>
      <w:color w:val="272727" w:themeColor="text1" w:themeTint="D8"/>
    </w:rPr>
  </w:style>
  <w:style w:type="paragraph" w:styleId="Ttulo">
    <w:name w:val="Title"/>
    <w:basedOn w:val="Normal"/>
    <w:next w:val="Normal"/>
    <w:link w:val="TtuloCar"/>
    <w:uiPriority w:val="10"/>
    <w:qFormat/>
    <w:rsid w:val="00AF67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F675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F675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F675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F6758"/>
    <w:pPr>
      <w:spacing w:before="160"/>
      <w:jc w:val="center"/>
    </w:pPr>
    <w:rPr>
      <w:i/>
      <w:iCs/>
      <w:color w:val="404040" w:themeColor="text1" w:themeTint="BF"/>
    </w:rPr>
  </w:style>
  <w:style w:type="character" w:customStyle="1" w:styleId="CitaCar">
    <w:name w:val="Cita Car"/>
    <w:basedOn w:val="Fuentedeprrafopredeter"/>
    <w:link w:val="Cita"/>
    <w:uiPriority w:val="29"/>
    <w:rsid w:val="00AF6758"/>
    <w:rPr>
      <w:i/>
      <w:iCs/>
      <w:color w:val="404040" w:themeColor="text1" w:themeTint="BF"/>
    </w:rPr>
  </w:style>
  <w:style w:type="paragraph" w:styleId="Prrafodelista">
    <w:name w:val="List Paragraph"/>
    <w:basedOn w:val="Normal"/>
    <w:uiPriority w:val="34"/>
    <w:qFormat/>
    <w:rsid w:val="00AF6758"/>
    <w:pPr>
      <w:ind w:left="720"/>
      <w:contextualSpacing/>
    </w:pPr>
  </w:style>
  <w:style w:type="character" w:styleId="nfasisintenso">
    <w:name w:val="Intense Emphasis"/>
    <w:basedOn w:val="Fuentedeprrafopredeter"/>
    <w:uiPriority w:val="21"/>
    <w:qFormat/>
    <w:rsid w:val="00AF6758"/>
    <w:rPr>
      <w:i/>
      <w:iCs/>
      <w:color w:val="0F4761" w:themeColor="accent1" w:themeShade="BF"/>
    </w:rPr>
  </w:style>
  <w:style w:type="paragraph" w:styleId="Citadestacada">
    <w:name w:val="Intense Quote"/>
    <w:basedOn w:val="Normal"/>
    <w:next w:val="Normal"/>
    <w:link w:val="CitadestacadaCar"/>
    <w:uiPriority w:val="30"/>
    <w:qFormat/>
    <w:rsid w:val="00AF67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F6758"/>
    <w:rPr>
      <w:i/>
      <w:iCs/>
      <w:color w:val="0F4761" w:themeColor="accent1" w:themeShade="BF"/>
    </w:rPr>
  </w:style>
  <w:style w:type="character" w:styleId="Referenciaintensa">
    <w:name w:val="Intense Reference"/>
    <w:basedOn w:val="Fuentedeprrafopredeter"/>
    <w:uiPriority w:val="32"/>
    <w:qFormat/>
    <w:rsid w:val="00AF675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13</Pages>
  <Words>3854</Words>
  <Characters>21200</Characters>
  <Application>Microsoft Office Word</Application>
  <DocSecurity>0</DocSecurity>
  <Lines>176</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García Rubio</dc:creator>
  <cp:keywords/>
  <dc:description/>
  <cp:lastModifiedBy>Alberto Garcia</cp:lastModifiedBy>
  <cp:revision>7</cp:revision>
  <dcterms:created xsi:type="dcterms:W3CDTF">2026-04-14T16:33:00Z</dcterms:created>
  <dcterms:modified xsi:type="dcterms:W3CDTF">2026-04-15T12:10:00Z</dcterms:modified>
</cp:coreProperties>
</file>